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6F" w:rsidRPr="004F696F" w:rsidRDefault="004F696F" w:rsidP="004F696F">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Pr>
          <w:rFonts w:ascii="Tahoma" w:eastAsia="Times New Roman" w:hAnsi="Tahoma" w:cs="Tahoma"/>
          <w:b/>
          <w:bCs/>
          <w:color w:val="000000"/>
          <w:sz w:val="25"/>
          <w:szCs w:val="25"/>
        </w:rPr>
        <w:t xml:space="preserve">41. </w:t>
      </w:r>
      <w:r w:rsidRPr="004F696F">
        <w:rPr>
          <w:rFonts w:ascii="Tahoma" w:eastAsia="Times New Roman" w:hAnsi="Tahoma" w:cs="Tahoma"/>
          <w:b/>
          <w:bCs/>
          <w:color w:val="000000"/>
          <w:sz w:val="25"/>
          <w:szCs w:val="25"/>
        </w:rPr>
        <w:t>Thủ tục thôi làm hòa giải viên</w:t>
      </w:r>
    </w:p>
    <w:bookmarkEnd w:id="0"/>
    <w:tbl>
      <w:tblPr>
        <w:tblW w:w="10221"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9231"/>
      </w:tblGrid>
      <w:tr w:rsidR="004F696F" w:rsidRPr="004F696F" w:rsidTr="004F696F">
        <w:trPr>
          <w:gridAfter w:val="1"/>
          <w:wAfter w:w="9231" w:type="dxa"/>
        </w:trPr>
        <w:tc>
          <w:tcPr>
            <w:tcW w:w="0" w:type="auto"/>
            <w:shd w:val="clear" w:color="auto" w:fill="FFFFFF"/>
            <w:vAlign w:val="center"/>
            <w:hideMark/>
          </w:tcPr>
          <w:p w:rsidR="004F696F" w:rsidRPr="004F696F" w:rsidRDefault="004F696F" w:rsidP="004F696F">
            <w:pPr>
              <w:spacing w:after="0" w:line="240" w:lineRule="auto"/>
              <w:rPr>
                <w:rFonts w:eastAsia="Times New Roman" w:cs="Times New Roman"/>
                <w:sz w:val="24"/>
                <w:szCs w:val="24"/>
              </w:rPr>
            </w:pP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Thẩm quyền giải quyết</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UBND cấp xã</w:t>
            </w: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Lĩnh vực</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Lĩnh vực Hành chính Tư pháp</w:t>
            </w: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Cách thức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6"/>
                <w:szCs w:val="26"/>
                <w:lang w:val="vi-VN"/>
              </w:rPr>
              <w:t>Không quy định</w:t>
            </w: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Trình tự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b/>
                <w:bCs/>
                <w:sz w:val="24"/>
                <w:szCs w:val="24"/>
              </w:rPr>
              <w:t>Bước 1:</w:t>
            </w:r>
            <w:r w:rsidRPr="004F696F">
              <w:rPr>
                <w:rFonts w:eastAsia="Times New Roman" w:cs="Times New Roman"/>
                <w:sz w:val="24"/>
                <w:szCs w:val="24"/>
              </w:rPr>
              <w:t> Tổ trưởng tổ hòa giải đề nghị Trưởng ban công tác Mặt trận phối hợp với trưởng thôn, tổ trưởng tổ dân phố làm văn bản đề nghị Chủ tịch Ủy ban nhân dân cấp xã ra quyết định thôi làm hòa giải viên.</w:t>
            </w:r>
            <w:r w:rsidRPr="004F696F">
              <w:rPr>
                <w:rFonts w:eastAsia="Times New Roman" w:cs="Times New Roman"/>
                <w:sz w:val="24"/>
                <w:szCs w:val="24"/>
              </w:rPr>
              <w:br/>
            </w:r>
            <w:r w:rsidRPr="004F696F">
              <w:rPr>
                <w:rFonts w:eastAsia="Times New Roman" w:cs="Times New Roman"/>
                <w:b/>
                <w:bCs/>
                <w:sz w:val="24"/>
                <w:szCs w:val="24"/>
              </w:rPr>
              <w:t>Bước 2:</w:t>
            </w:r>
            <w:r w:rsidRPr="004F696F">
              <w:rPr>
                <w:rFonts w:eastAsia="Times New Roman" w:cs="Times New Roman"/>
                <w:sz w:val="24"/>
                <w:szCs w:val="24"/>
              </w:rPr>
              <w:t> 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Ủy ban nhân dân cấp xã ra quyết định thôi làm hòa giải viên (Mẫu số 08 tại Phụ lục ban hành kèm theo Nghị quyết liên tịch số 01/2014/NQLT-CP-UBTƯMTTQVN).</w:t>
            </w:r>
            <w:r w:rsidRPr="004F696F">
              <w:rPr>
                <w:rFonts w:eastAsia="Times New Roman" w:cs="Times New Roman"/>
                <w:sz w:val="24"/>
                <w:szCs w:val="24"/>
              </w:rPr>
              <w:br/>
              <w:t>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Ủy ban nhân dân cấp xã xem xét, quyết định (Mẫu số 09 tại Phụ lục ban hành kèm theo Nghị quyết liên tịch số 01/2014/NQLT-CP-UBTƯMTTQVN).</w:t>
            </w:r>
            <w:r w:rsidRPr="004F696F">
              <w:rPr>
                <w:rFonts w:eastAsia="Times New Roman" w:cs="Times New Roman"/>
                <w:sz w:val="24"/>
                <w:szCs w:val="24"/>
              </w:rPr>
              <w:br/>
              <w:t>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w:t>
            </w:r>
            <w:r w:rsidRPr="004F696F">
              <w:rPr>
                <w:rFonts w:eastAsia="Times New Roman" w:cs="Times New Roman"/>
                <w:sz w:val="24"/>
                <w:szCs w:val="24"/>
              </w:rPr>
              <w:br/>
            </w:r>
            <w:r w:rsidRPr="004F696F">
              <w:rPr>
                <w:rFonts w:eastAsia="Times New Roman" w:cs="Times New Roman"/>
                <w:b/>
                <w:bCs/>
                <w:sz w:val="24"/>
                <w:szCs w:val="24"/>
              </w:rPr>
              <w:t>Bước 3:</w:t>
            </w:r>
            <w:r w:rsidRPr="004F696F">
              <w:rPr>
                <w:rFonts w:eastAsia="Times New Roman" w:cs="Times New Roman"/>
                <w:sz w:val="24"/>
                <w:szCs w:val="24"/>
              </w:rPr>
              <w:t> Trong thời hạn 05 ngày làm việc, kể từ ngày nhận được văn bản đề nghị hoặc báo cáo về việc thôi làm hòa giải viên, Chủ tịch Ủy ban nhân dân cấp xã xem xét, quyết định.</w:t>
            </w: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Thành phần hồ sơ</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6"/>
                <w:szCs w:val="26"/>
                <w:lang w:val="vi-VN"/>
              </w:rPr>
              <w:t>Văn bản đề nghị ra quyết định thôi làm hòa giải viên</w:t>
            </w: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Thời hạn giải quyết</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Trong thời hạn 05 ngày làm việc, kể từ ngày nhận được văn bản đề nghị hoặc báo cáo về việc thôi làm hòa giải viên.</w:t>
            </w: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Lệ phí</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Không</w:t>
            </w: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Kết quả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Quyết định thôi làm hòa giải viên</w:t>
            </w: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Cơ quan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6"/>
                <w:szCs w:val="26"/>
                <w:lang w:val="vi-VN"/>
              </w:rPr>
              <w:t>Uỷ ban nhân dân cấp xã</w:t>
            </w: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lastRenderedPageBreak/>
              <w:t>Đối tượng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6"/>
                <w:szCs w:val="26"/>
                <w:lang w:val="vi-VN"/>
              </w:rPr>
              <w:t>Tổ trưởng tổ hòa giải,</w:t>
            </w:r>
            <w:r w:rsidRPr="004F696F">
              <w:rPr>
                <w:rFonts w:eastAsia="Times New Roman" w:cs="Times New Roman"/>
                <w:b/>
                <w:bCs/>
                <w:color w:val="000000"/>
                <w:sz w:val="26"/>
                <w:szCs w:val="26"/>
                <w:lang w:val="vi-VN"/>
              </w:rPr>
              <w:t> </w:t>
            </w:r>
            <w:r w:rsidRPr="004F696F">
              <w:rPr>
                <w:rFonts w:eastAsia="Times New Roman" w:cs="Times New Roman"/>
                <w:sz w:val="26"/>
                <w:szCs w:val="26"/>
                <w:lang w:val="vi-VN"/>
              </w:rPr>
              <w:t>Trưởng ban công tác Mặt trận, trưởng thôn, tổ trưởng tổ dân phố</w:t>
            </w: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Yêu cầu hoặc điều kiện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Việc thôi làm hòa giải viên được thực hiện trong các trường hợp sau đây:</w:t>
            </w:r>
            <w:r w:rsidRPr="004F696F">
              <w:rPr>
                <w:rFonts w:eastAsia="Times New Roman" w:cs="Times New Roman"/>
                <w:sz w:val="24"/>
                <w:szCs w:val="24"/>
              </w:rPr>
              <w:br/>
              <w:t>- Theo nguyện vọng của hòa giải viên;</w:t>
            </w:r>
            <w:r w:rsidRPr="004F696F">
              <w:rPr>
                <w:rFonts w:eastAsia="Times New Roman" w:cs="Times New Roman"/>
                <w:sz w:val="24"/>
                <w:szCs w:val="24"/>
              </w:rPr>
              <w:br/>
              <w:t>- Hòa giải viên không còn đáp ứng một trong các tiêu chuẩn quy định tại Điều 7 của Luật hòa giải ở cơ sở;</w:t>
            </w:r>
            <w:r w:rsidRPr="004F696F">
              <w:rPr>
                <w:rFonts w:eastAsia="Times New Roman" w:cs="Times New Roman"/>
                <w:sz w:val="24"/>
                <w:szCs w:val="24"/>
              </w:rPr>
              <w:br/>
              <w:t>- Vi phạm nguyên tắc tổ chức, hoạt động hòa giải ở cơ sở theo quy định tại Điều 4 của Luật hòa giải ở cơ sở hoặc không có điều kiện tiếp tục làm hòa giải viên do bị xử lý vi phạm pháp luật.</w:t>
            </w:r>
          </w:p>
        </w:tc>
      </w:tr>
      <w:tr w:rsidR="004F696F" w:rsidRPr="004F696F" w:rsidTr="004F696F">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Căn cứ pháp lý</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4F696F" w:rsidRPr="004F696F" w:rsidRDefault="004F696F" w:rsidP="004F696F">
            <w:pPr>
              <w:spacing w:after="0" w:line="240" w:lineRule="auto"/>
              <w:rPr>
                <w:rFonts w:eastAsia="Times New Roman" w:cs="Times New Roman"/>
                <w:sz w:val="24"/>
                <w:szCs w:val="24"/>
              </w:rPr>
            </w:pPr>
            <w:r w:rsidRPr="004F696F">
              <w:rPr>
                <w:rFonts w:eastAsia="Times New Roman" w:cs="Times New Roman"/>
                <w:sz w:val="24"/>
                <w:szCs w:val="24"/>
              </w:rPr>
              <w:t>1. Luật hòa giải ở cơ sở năm 2013;</w:t>
            </w:r>
            <w:r w:rsidRPr="004F696F">
              <w:rPr>
                <w:rFonts w:eastAsia="Times New Roman" w:cs="Times New Roman"/>
                <w:sz w:val="24"/>
                <w:szCs w:val="24"/>
              </w:rPr>
              <w:br/>
              <w:t>2. Nghị quyết liên tịch số 01/2014/NQLT-CP-UBTƯMTTQVN ngày 18/11/2014 của Chính phủ và Ủy ban Trung ương Mặt trận Tổ quốc Việt Nam hướng dẫn phối hợp thực hiện một số quy định của pháp luật về hòa giải ở cơ sở</w:t>
            </w:r>
          </w:p>
        </w:tc>
      </w:tr>
    </w:tbl>
    <w:p w:rsidR="003E268A" w:rsidRDefault="004F696F">
      <w:r w:rsidRPr="004F696F">
        <w:rPr>
          <w:rFonts w:ascii="Tahoma" w:eastAsia="Times New Roman" w:hAnsi="Tahoma" w:cs="Tahoma"/>
          <w:color w:val="000000"/>
          <w:sz w:val="24"/>
          <w:szCs w:val="24"/>
          <w:shd w:val="clear" w:color="auto" w:fill="FFFFFF"/>
        </w:rPr>
        <w:t>* Mẫu đơn, mẫu tờ khai:</w:t>
      </w:r>
      <w:r w:rsidRPr="004F696F">
        <w:rPr>
          <w:rFonts w:ascii="Tahoma" w:eastAsia="Times New Roman" w:hAnsi="Tahoma" w:cs="Tahoma"/>
          <w:color w:val="000000"/>
          <w:sz w:val="24"/>
          <w:szCs w:val="24"/>
        </w:rPr>
        <w:br/>
      </w:r>
      <w:r w:rsidRPr="004F696F">
        <w:rPr>
          <w:rFonts w:ascii="Tahoma" w:eastAsia="Times New Roman" w:hAnsi="Tahoma" w:cs="Tahoma"/>
          <w:color w:val="000000"/>
          <w:sz w:val="24"/>
          <w:szCs w:val="24"/>
          <w:shd w:val="clear" w:color="auto" w:fill="FFFFFF"/>
        </w:rPr>
        <w:t>Các tập tin, biểu mẫu khác:</w:t>
      </w:r>
      <w:r w:rsidRPr="004F696F">
        <w:rPr>
          <w:rFonts w:ascii="Tahoma" w:eastAsia="Times New Roman" w:hAnsi="Tahoma" w:cs="Tahoma"/>
          <w:color w:val="000000"/>
          <w:sz w:val="24"/>
          <w:szCs w:val="24"/>
        </w:rPr>
        <w:br/>
      </w:r>
      <w:r w:rsidRPr="004F696F">
        <w:rPr>
          <w:rFonts w:ascii="Tahoma" w:eastAsia="Times New Roman" w:hAnsi="Tahoma" w:cs="Tahoma"/>
          <w:color w:val="000000"/>
          <w:sz w:val="24"/>
          <w:szCs w:val="24"/>
          <w:shd w:val="clear" w:color="auto" w:fill="FFFFFF"/>
        </w:rPr>
        <w:t>- </w:t>
      </w:r>
      <w:hyperlink r:id="rId5" w:tgtFrame="_blank" w:history="1">
        <w:r w:rsidRPr="004F696F">
          <w:rPr>
            <w:rFonts w:ascii="Tahoma" w:eastAsia="Times New Roman" w:hAnsi="Tahoma" w:cs="Tahoma"/>
            <w:color w:val="000000"/>
            <w:sz w:val="24"/>
            <w:szCs w:val="24"/>
            <w:shd w:val="clear" w:color="auto" w:fill="FFFFFF"/>
          </w:rPr>
          <w:t>Mau-so-8.docx</w:t>
        </w:r>
      </w:hyperlink>
      <w:r w:rsidRPr="004F696F">
        <w:rPr>
          <w:rFonts w:ascii="Tahoma" w:eastAsia="Times New Roman" w:hAnsi="Tahoma" w:cs="Tahoma"/>
          <w:color w:val="000000"/>
          <w:sz w:val="24"/>
          <w:szCs w:val="24"/>
        </w:rPr>
        <w:br/>
      </w:r>
      <w:r w:rsidRPr="004F696F">
        <w:rPr>
          <w:rFonts w:ascii="Tahoma" w:eastAsia="Times New Roman" w:hAnsi="Tahoma" w:cs="Tahoma"/>
          <w:color w:val="000000"/>
          <w:sz w:val="24"/>
          <w:szCs w:val="24"/>
          <w:shd w:val="clear" w:color="auto" w:fill="FFFFFF"/>
        </w:rPr>
        <w:t>Các tập tin, biểu mẫu khác:</w:t>
      </w:r>
      <w:r w:rsidRPr="004F696F">
        <w:rPr>
          <w:rFonts w:ascii="Tahoma" w:eastAsia="Times New Roman" w:hAnsi="Tahoma" w:cs="Tahoma"/>
          <w:color w:val="000000"/>
          <w:sz w:val="24"/>
          <w:szCs w:val="24"/>
        </w:rPr>
        <w:br/>
      </w:r>
      <w:r w:rsidRPr="004F696F">
        <w:rPr>
          <w:rFonts w:ascii="Tahoma" w:eastAsia="Times New Roman" w:hAnsi="Tahoma" w:cs="Tahoma"/>
          <w:color w:val="000000"/>
          <w:sz w:val="24"/>
          <w:szCs w:val="24"/>
          <w:shd w:val="clear" w:color="auto" w:fill="FFFFFF"/>
        </w:rPr>
        <w:t>- </w:t>
      </w:r>
      <w:hyperlink r:id="rId6" w:tgtFrame="_blank" w:history="1">
        <w:r w:rsidRPr="004F696F">
          <w:rPr>
            <w:rFonts w:ascii="Tahoma" w:eastAsia="Times New Roman" w:hAnsi="Tahoma" w:cs="Tahoma"/>
            <w:color w:val="000000"/>
            <w:sz w:val="24"/>
            <w:szCs w:val="24"/>
            <w:shd w:val="clear" w:color="auto" w:fill="FFFFFF"/>
          </w:rPr>
          <w:t>Mau-so-9.docx</w:t>
        </w:r>
      </w:hyperlink>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6F"/>
    <w:rsid w:val="003E268A"/>
    <w:rsid w:val="004F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F696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96F"/>
    <w:rPr>
      <w:rFonts w:eastAsia="Times New Roman" w:cs="Times New Roman"/>
      <w:b/>
      <w:bCs/>
      <w:sz w:val="27"/>
      <w:szCs w:val="27"/>
    </w:rPr>
  </w:style>
  <w:style w:type="character" w:styleId="Strong">
    <w:name w:val="Strong"/>
    <w:basedOn w:val="DefaultParagraphFont"/>
    <w:uiPriority w:val="22"/>
    <w:qFormat/>
    <w:rsid w:val="004F696F"/>
    <w:rPr>
      <w:b/>
      <w:bCs/>
    </w:rPr>
  </w:style>
  <w:style w:type="character" w:styleId="Hyperlink">
    <w:name w:val="Hyperlink"/>
    <w:basedOn w:val="DefaultParagraphFont"/>
    <w:uiPriority w:val="99"/>
    <w:semiHidden/>
    <w:unhideWhenUsed/>
    <w:rsid w:val="004F69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F696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96F"/>
    <w:rPr>
      <w:rFonts w:eastAsia="Times New Roman" w:cs="Times New Roman"/>
      <w:b/>
      <w:bCs/>
      <w:sz w:val="27"/>
      <w:szCs w:val="27"/>
    </w:rPr>
  </w:style>
  <w:style w:type="character" w:styleId="Strong">
    <w:name w:val="Strong"/>
    <w:basedOn w:val="DefaultParagraphFont"/>
    <w:uiPriority w:val="22"/>
    <w:qFormat/>
    <w:rsid w:val="004F696F"/>
    <w:rPr>
      <w:b/>
      <w:bCs/>
    </w:rPr>
  </w:style>
  <w:style w:type="character" w:styleId="Hyperlink">
    <w:name w:val="Hyperlink"/>
    <w:basedOn w:val="DefaultParagraphFont"/>
    <w:uiPriority w:val="99"/>
    <w:semiHidden/>
    <w:unhideWhenUsed/>
    <w:rsid w:val="004F6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331026">
      <w:bodyDiv w:val="1"/>
      <w:marLeft w:val="0"/>
      <w:marRight w:val="0"/>
      <w:marTop w:val="0"/>
      <w:marBottom w:val="0"/>
      <w:divBdr>
        <w:top w:val="none" w:sz="0" w:space="0" w:color="auto"/>
        <w:left w:val="none" w:sz="0" w:space="0" w:color="auto"/>
        <w:bottom w:val="none" w:sz="0" w:space="0" w:color="auto"/>
        <w:right w:val="none" w:sz="0" w:space="0" w:color="auto"/>
      </w:divBdr>
      <w:divsChild>
        <w:div w:id="180318536">
          <w:marLeft w:val="0"/>
          <w:marRight w:val="0"/>
          <w:marTop w:val="0"/>
          <w:marBottom w:val="0"/>
          <w:divBdr>
            <w:top w:val="none" w:sz="0" w:space="0" w:color="auto"/>
            <w:left w:val="none" w:sz="0" w:space="0" w:color="auto"/>
            <w:bottom w:val="none" w:sz="0" w:space="0" w:color="auto"/>
            <w:right w:val="none" w:sz="0" w:space="0" w:color="auto"/>
          </w:divBdr>
          <w:divsChild>
            <w:div w:id="696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bang.gialai.gov.vn/getattachment/thi-tran-kbang/kkk/Bo-thu-tuc-hanh-chinh-cap-xa/Hanh-chinh-tu-phap/Thu-tuc-thoi-lam-hoa-giai-vien/Mau-so-9.docx.aspx" TargetMode="External"/><Relationship Id="rId5" Type="http://schemas.openxmlformats.org/officeDocument/2006/relationships/hyperlink" Target="http://kbang.gialai.gov.vn/getattachment/thi-tran-kbang/kkk/Bo-thu-tuc-hanh-chinh-cap-xa/Hanh-chinh-tu-phap/Thu-tuc-thoi-lam-hoa-giai-vien/Mau-so-8.doc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2020-01-22T03:24:00Z</dcterms:created>
  <dcterms:modified xsi:type="dcterms:W3CDTF">2020-01-22T03:25:00Z</dcterms:modified>
</cp:coreProperties>
</file>