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D2" w:rsidRPr="00D963D2" w:rsidRDefault="00D963D2" w:rsidP="00D963D2">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D963D2">
        <w:rPr>
          <w:rFonts w:ascii="Tahoma" w:eastAsia="Times New Roman" w:hAnsi="Tahoma" w:cs="Tahoma"/>
          <w:b/>
          <w:bCs/>
          <w:color w:val="000000"/>
          <w:sz w:val="25"/>
          <w:szCs w:val="25"/>
        </w:rPr>
        <w:t>Thủ tục cấp giấy phép xây dựng đối với trường hợp di dời công trình</w:t>
      </w:r>
    </w:p>
    <w:bookmarkEnd w:id="0"/>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231"/>
      </w:tblGrid>
      <w:tr w:rsidR="00D963D2" w:rsidRPr="00D963D2" w:rsidTr="00D963D2">
        <w:trPr>
          <w:gridAfter w:val="1"/>
          <w:wAfter w:w="9231" w:type="dxa"/>
        </w:trPr>
        <w:tc>
          <w:tcPr>
            <w:tcW w:w="0" w:type="auto"/>
            <w:shd w:val="clear" w:color="auto" w:fill="FFFFFF"/>
            <w:vAlign w:val="center"/>
            <w:hideMark/>
          </w:tcPr>
          <w:p w:rsidR="00D963D2" w:rsidRPr="00D963D2" w:rsidRDefault="00D963D2" w:rsidP="00D963D2">
            <w:pPr>
              <w:spacing w:after="0" w:line="240" w:lineRule="auto"/>
              <w:rPr>
                <w:rFonts w:eastAsia="Times New Roman" w:cs="Times New Roman"/>
                <w:sz w:val="24"/>
                <w:szCs w:val="24"/>
              </w:rPr>
            </w:pP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t>Thẩm quyền giải quyết</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jc w:val="both"/>
              <w:rPr>
                <w:rFonts w:eastAsia="Times New Roman" w:cs="Times New Roman"/>
                <w:sz w:val="24"/>
                <w:szCs w:val="24"/>
              </w:rPr>
            </w:pPr>
            <w:r w:rsidRPr="00D963D2">
              <w:rPr>
                <w:rFonts w:eastAsia="Times New Roman" w:cs="Times New Roman"/>
                <w:sz w:val="24"/>
                <w:szCs w:val="24"/>
              </w:rPr>
              <w:t>UBND cấp huyện</w:t>
            </w: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t>Lĩnh vực</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jc w:val="both"/>
              <w:rPr>
                <w:rFonts w:eastAsia="Times New Roman" w:cs="Times New Roman"/>
                <w:sz w:val="24"/>
                <w:szCs w:val="24"/>
              </w:rPr>
            </w:pPr>
            <w:r w:rsidRPr="00D963D2">
              <w:rPr>
                <w:rFonts w:eastAsia="Times New Roman" w:cs="Times New Roman"/>
                <w:sz w:val="24"/>
                <w:szCs w:val="24"/>
              </w:rPr>
              <w:t>Xây dựng</w:t>
            </w: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t>Cách thức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jc w:val="both"/>
              <w:rPr>
                <w:rFonts w:eastAsia="Times New Roman" w:cs="Times New Roman"/>
                <w:sz w:val="24"/>
                <w:szCs w:val="24"/>
              </w:rPr>
            </w:pPr>
            <w:r w:rsidRPr="00D963D2">
              <w:rPr>
                <w:rFonts w:eastAsia="Times New Roman" w:cs="Times New Roman"/>
                <w:sz w:val="24"/>
                <w:szCs w:val="24"/>
              </w:rPr>
              <w:t>Chủ đầu tư gửi hồ sơ trực tiếp tại trụ sở UBND cấp huyện hoặc qua đường bưu điện, nộp trực tuyến (trường hợp đã triển khai dịch vụ công trực tuyến mức độ 3, 4).</w:t>
            </w: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t>Trình tự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jc w:val="both"/>
              <w:rPr>
                <w:rFonts w:eastAsia="Times New Roman" w:cs="Times New Roman"/>
                <w:sz w:val="24"/>
                <w:szCs w:val="24"/>
              </w:rPr>
            </w:pPr>
            <w:r w:rsidRPr="00D963D2">
              <w:rPr>
                <w:rFonts w:eastAsia="Times New Roman" w:cs="Times New Roman"/>
                <w:b/>
                <w:bCs/>
                <w:sz w:val="24"/>
                <w:szCs w:val="24"/>
              </w:rPr>
              <w:t>Bước 1. </w:t>
            </w:r>
            <w:r w:rsidRPr="00D963D2">
              <w:rPr>
                <w:rFonts w:eastAsia="Times New Roman" w:cs="Times New Roman"/>
                <w:sz w:val="24"/>
                <w:szCs w:val="24"/>
              </w:rPr>
              <w:t>Các tổ chức, cá nhân nộp hồ sơ tại Bộ phận tiếp nhận và trả kết quả của Ủy ban nhân dân cấp huyện nơi xây dựng công trình hoặc nộp qua dịch vụ bưu chính, nộp trực tuyến (đối với TTHC đã xây dựng dịch vụ công trực tuyến mức độ 3, 4).</w:t>
            </w:r>
            <w:r w:rsidRPr="00D963D2">
              <w:rPr>
                <w:rFonts w:eastAsia="Times New Roman" w:cs="Times New Roman"/>
                <w:sz w:val="24"/>
                <w:szCs w:val="24"/>
              </w:rPr>
              <w:br/>
            </w:r>
            <w:r w:rsidRPr="00D963D2">
              <w:rPr>
                <w:rFonts w:eastAsia="Times New Roman" w:cs="Times New Roman"/>
                <w:b/>
                <w:bCs/>
                <w:sz w:val="24"/>
                <w:szCs w:val="24"/>
              </w:rPr>
              <w:t>Bước 2.</w:t>
            </w:r>
            <w:r w:rsidRPr="00D963D2">
              <w:rPr>
                <w:rFonts w:eastAsia="Times New Roman" w:cs="Times New Roman"/>
                <w:sz w:val="24"/>
                <w:szCs w:val="24"/>
              </w:rPr>
              <w:t> Công chức tiếp nhận hồ sơ tại Bộ phận tiếp nhận và trả kết quả kiểm tra tính hợp lệ, đầy đủ của hồ sơ:</w:t>
            </w:r>
          </w:p>
          <w:p w:rsidR="00D963D2" w:rsidRPr="00D963D2" w:rsidRDefault="00D963D2" w:rsidP="00D963D2">
            <w:pPr>
              <w:numPr>
                <w:ilvl w:val="0"/>
                <w:numId w:val="1"/>
              </w:numPr>
              <w:spacing w:before="100" w:beforeAutospacing="1" w:after="100" w:afterAutospacing="1" w:line="240" w:lineRule="auto"/>
              <w:jc w:val="both"/>
              <w:rPr>
                <w:rFonts w:eastAsia="Times New Roman" w:cs="Times New Roman"/>
                <w:sz w:val="24"/>
                <w:szCs w:val="24"/>
              </w:rPr>
            </w:pPr>
            <w:r w:rsidRPr="00D963D2">
              <w:rPr>
                <w:rFonts w:eastAsia="Times New Roman" w:cs="Times New Roman"/>
                <w:sz w:val="24"/>
                <w:szCs w:val="24"/>
              </w:rPr>
              <w:t>Trường hợp hồ sơ không thuộc phạm vi giải quyết thì hướng dẫn để cá nhân, tổ chức đến cơ quan có thẩm quyền giải quyết;</w:t>
            </w:r>
          </w:p>
          <w:p w:rsidR="00D963D2" w:rsidRPr="00D963D2" w:rsidRDefault="00D963D2" w:rsidP="00D963D2">
            <w:pPr>
              <w:numPr>
                <w:ilvl w:val="0"/>
                <w:numId w:val="1"/>
              </w:numPr>
              <w:spacing w:before="100" w:beforeAutospacing="1" w:after="100" w:afterAutospacing="1" w:line="240" w:lineRule="auto"/>
              <w:jc w:val="both"/>
              <w:rPr>
                <w:rFonts w:eastAsia="Times New Roman" w:cs="Times New Roman"/>
                <w:sz w:val="24"/>
                <w:szCs w:val="24"/>
              </w:rPr>
            </w:pPr>
            <w:r w:rsidRPr="00D963D2">
              <w:rPr>
                <w:rFonts w:eastAsia="Times New Roman" w:cs="Times New Roman"/>
                <w:sz w:val="24"/>
                <w:szCs w:val="24"/>
              </w:rPr>
              <w:t>Trường hợp hồ sơ đã đầy đủ, hợp lệ thì viết giấy biên nhận hồ sơ và hẹn trả kết quả trao cho người nộp, vào sổ theo dõi hồ sơ và phần mềm điện tử (nếu có);</w:t>
            </w:r>
          </w:p>
          <w:p w:rsidR="00D963D2" w:rsidRPr="00D963D2" w:rsidRDefault="00D963D2" w:rsidP="00D963D2">
            <w:pPr>
              <w:numPr>
                <w:ilvl w:val="0"/>
                <w:numId w:val="1"/>
              </w:numPr>
              <w:spacing w:before="100" w:beforeAutospacing="1" w:after="100" w:afterAutospacing="1" w:line="240" w:lineRule="auto"/>
              <w:jc w:val="both"/>
              <w:rPr>
                <w:rFonts w:eastAsia="Times New Roman" w:cs="Times New Roman"/>
                <w:sz w:val="24"/>
                <w:szCs w:val="24"/>
              </w:rPr>
            </w:pPr>
            <w:r w:rsidRPr="00D963D2">
              <w:rPr>
                <w:rFonts w:eastAsia="Times New Roman" w:cs="Times New Roman"/>
                <w:sz w:val="24"/>
                <w:szCs w:val="24"/>
              </w:rPr>
              <w:t>Trường hợp hồ sơ thiếu hoặc không hợp lệ thì công chức tiếp nhận hồ sơ hướng dẫn người nộp hồ sơ hoàn thiện bằng phiếu hướng dẫn hoặc gọi điện cho tổ chức (nếu gửi bằng đường bưu điện) bổ sung hồ sơ đầy đủ, hợp lệ.</w:t>
            </w:r>
          </w:p>
          <w:p w:rsidR="00D963D2" w:rsidRPr="00D963D2" w:rsidRDefault="00D963D2" w:rsidP="00D963D2">
            <w:pPr>
              <w:spacing w:after="0" w:line="240" w:lineRule="auto"/>
              <w:jc w:val="both"/>
              <w:rPr>
                <w:rFonts w:eastAsia="Times New Roman" w:cs="Times New Roman"/>
                <w:sz w:val="24"/>
                <w:szCs w:val="24"/>
              </w:rPr>
            </w:pPr>
            <w:r w:rsidRPr="00D963D2">
              <w:rPr>
                <w:rFonts w:eastAsia="Times New Roman" w:cs="Times New Roman"/>
                <w:b/>
                <w:bCs/>
                <w:sz w:val="24"/>
                <w:szCs w:val="24"/>
              </w:rPr>
              <w:t>Bước 3.</w:t>
            </w:r>
            <w:r w:rsidRPr="00D963D2">
              <w:rPr>
                <w:rFonts w:eastAsia="Times New Roman" w:cs="Times New Roman"/>
                <w:sz w:val="24"/>
                <w:szCs w:val="24"/>
              </w:rPr>
              <w:br/>
              <w:t>- Kể từ ngày nhận được hồ sơ, UBND cấp huyện phải tổ chức thẩm định hồ sơ, kiểm tra thực địa. Khi thẩm định hồ sơ, UBND cấp huyện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cơ quan có thẩm quyền có trách nhiệm thông báo đến chủ đầu tư về lý do không cấp giấy phép.</w:t>
            </w:r>
            <w:r w:rsidRPr="00D963D2">
              <w:rPr>
                <w:rFonts w:eastAsia="Times New Roman" w:cs="Times New Roman"/>
                <w:sz w:val="24"/>
                <w:szCs w:val="24"/>
              </w:rPr>
              <w:br/>
              <w:t>-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để gửi văn bản lấy ý kiến của các cơ quan quản lý nhà nước về những lĩnh vực liên quan đến công trình xây dựng theo quy định của pháp luật.</w:t>
            </w:r>
            <w:r w:rsidRPr="00D963D2">
              <w:rPr>
                <w:rFonts w:eastAsia="Times New Roman" w:cs="Times New Roman"/>
                <w:sz w:val="24"/>
                <w:szCs w:val="24"/>
              </w:rPr>
              <w:br/>
              <w:t>- Các cơ quan quản lý nhà nước được hỏi ý kiến có trách nhiệm trả lời bằng văn bản về những nội dung thuộc chức năng quản lý của mình. Sau thời hạn 5 ngày, nếu các cơ quan này không có ý kiến thì được coi là đã đồng ý và phải chịu trách nhiệm về những nội dung thuộc chức năng quản lý của mình; UBND cấp huyện căn cứ các quy định hiện hành để quyết định việc cấp giấy phép xây dựng.</w:t>
            </w:r>
            <w:r w:rsidRPr="00D963D2">
              <w:rPr>
                <w:rFonts w:eastAsia="Times New Roman" w:cs="Times New Roman"/>
                <w:sz w:val="24"/>
                <w:szCs w:val="24"/>
              </w:rPr>
              <w:br/>
            </w:r>
            <w:r w:rsidRPr="00D963D2">
              <w:rPr>
                <w:rFonts w:eastAsia="Times New Roman" w:cs="Times New Roman"/>
                <w:b/>
                <w:bCs/>
                <w:sz w:val="24"/>
                <w:szCs w:val="24"/>
              </w:rPr>
              <w:t>Bước 4:</w:t>
            </w:r>
            <w:r w:rsidRPr="00D963D2">
              <w:rPr>
                <w:rFonts w:eastAsia="Times New Roman" w:cs="Times New Roman"/>
                <w:sz w:val="24"/>
                <w:szCs w:val="24"/>
              </w:rPr>
              <w:t> Trả kết quả:</w:t>
            </w:r>
            <w:r w:rsidRPr="00D963D2">
              <w:rPr>
                <w:rFonts w:eastAsia="Times New Roman" w:cs="Times New Roman"/>
                <w:sz w:val="24"/>
                <w:szCs w:val="24"/>
              </w:rPr>
              <w:br/>
              <w:t xml:space="preserve">Tổ chức, cá nhân nhận kết quả và đóng phí, lệ phí (nếu có) tại Bộ phận tiếp nhận và trả kết </w:t>
            </w:r>
            <w:r w:rsidRPr="00D963D2">
              <w:rPr>
                <w:rFonts w:eastAsia="Times New Roman" w:cs="Times New Roman"/>
                <w:sz w:val="24"/>
                <w:szCs w:val="24"/>
              </w:rPr>
              <w:lastRenderedPageBreak/>
              <w:t>quả; trường hợp cá nhân, tổ chức đã đăng ký nhận kết quả qua dịch vụ bưu chính thì việc trả kết quả, thu phí, lệ phí (nếu có) và cước phí được thực hiện qua dịch vụ bưu chính.</w:t>
            </w:r>
            <w:r w:rsidRPr="00D963D2">
              <w:rPr>
                <w:rFonts w:eastAsia="Times New Roman" w:cs="Times New Roman"/>
                <w:sz w:val="24"/>
                <w:szCs w:val="24"/>
              </w:rPr>
              <w:br/>
              <w:t>Thời gian nhận hồ sơ và trả kết quả: Sáng từ 7h00 đến 11h00, chiều từ 13h00 đến 17h00 từ thứ 2 đến thứ 6 (trừ ngày nghỉ, lễ, tết theo quy định).</w:t>
            </w: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lastRenderedPageBreak/>
              <w:t>Thành phần hồ sơ</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i/>
                <w:iCs/>
                <w:sz w:val="24"/>
                <w:szCs w:val="24"/>
              </w:rPr>
              <w:t>- Đơn đề nghị cấp giấy phép di dời công trình theo mẫu tại Phụ lục số 1 Thông tư số 15/2016/TT-BXD.</w:t>
            </w:r>
            <w:r w:rsidRPr="00D963D2">
              <w:rPr>
                <w:rFonts w:eastAsia="Times New Roman" w:cs="Times New Roman"/>
                <w:sz w:val="24"/>
                <w:szCs w:val="24"/>
              </w:rPr>
              <w:br/>
            </w:r>
            <w:r w:rsidRPr="00D963D2">
              <w:rPr>
                <w:rFonts w:eastAsia="Times New Roman" w:cs="Times New Roman"/>
                <w:i/>
                <w:iCs/>
                <w:sz w:val="24"/>
                <w:szCs w:val="24"/>
              </w:rPr>
              <w:t>- Bản sao hoặc tệp tin chứa bản chụp chính</w:t>
            </w:r>
            <w:r w:rsidRPr="00D963D2">
              <w:rPr>
                <w:rFonts w:eastAsia="Times New Roman" w:cs="Times New Roman"/>
                <w:sz w:val="24"/>
                <w:szCs w:val="24"/>
              </w:rPr>
              <w:t> một trong những giấy tờ chứng minh quyền sử dụng đất theo quy định của pháp luật về đất đai nơi công trình sẽ di dời đến và giấy tờ hợp pháp về quyền sở hữu công trình theo quy định của pháp luật.</w:t>
            </w:r>
            <w:r w:rsidRPr="00D963D2">
              <w:rPr>
                <w:rFonts w:eastAsia="Times New Roman" w:cs="Times New Roman"/>
                <w:sz w:val="24"/>
                <w:szCs w:val="24"/>
              </w:rPr>
              <w:br/>
              <w:t>- </w:t>
            </w:r>
            <w:r w:rsidRPr="00D963D2">
              <w:rPr>
                <w:rFonts w:eastAsia="Times New Roman" w:cs="Times New Roman"/>
                <w:i/>
                <w:iCs/>
                <w:sz w:val="24"/>
                <w:szCs w:val="24"/>
              </w:rPr>
              <w:t>Bản sao hoặc tệp tin chứa bản chụp chính</w:t>
            </w:r>
            <w:r w:rsidRPr="00D963D2">
              <w:rPr>
                <w:rFonts w:eastAsia="Times New Roman" w:cs="Times New Roman"/>
                <w:sz w:val="24"/>
                <w:szCs w:val="24"/>
              </w:rPr>
              <w:t> bản vẽ tổng mặt bằng, nơi công trình sẽ được di dời tới tỷ lệ 1/50 - 1/500.</w:t>
            </w:r>
            <w:r w:rsidRPr="00D963D2">
              <w:rPr>
                <w:rFonts w:eastAsia="Times New Roman" w:cs="Times New Roman"/>
                <w:sz w:val="24"/>
                <w:szCs w:val="24"/>
              </w:rPr>
              <w:br/>
              <w:t>- </w:t>
            </w:r>
            <w:r w:rsidRPr="00D963D2">
              <w:rPr>
                <w:rFonts w:eastAsia="Times New Roman" w:cs="Times New Roman"/>
                <w:i/>
                <w:iCs/>
                <w:sz w:val="24"/>
                <w:szCs w:val="24"/>
              </w:rPr>
              <w:t>Bản sao hoặc tệp tin chứa bản chụp chính</w:t>
            </w:r>
            <w:r w:rsidRPr="00D963D2">
              <w:rPr>
                <w:rFonts w:eastAsia="Times New Roman" w:cs="Times New Roman"/>
                <w:sz w:val="24"/>
                <w:szCs w:val="24"/>
              </w:rPr>
              <w:t> bản vẽ mặt bằng móng tỷ lệ 1/100 - 1/200, mặt cắt móng tỷ lệ 1/50 tại địa điểm công trình sẽ di dời tới.</w:t>
            </w:r>
            <w:r w:rsidRPr="00D963D2">
              <w:rPr>
                <w:rFonts w:eastAsia="Times New Roman" w:cs="Times New Roman"/>
                <w:sz w:val="24"/>
                <w:szCs w:val="24"/>
              </w:rPr>
              <w:br/>
              <w:t>- </w:t>
            </w:r>
            <w:r w:rsidRPr="00D963D2">
              <w:rPr>
                <w:rFonts w:eastAsia="Times New Roman" w:cs="Times New Roman"/>
                <w:i/>
                <w:iCs/>
                <w:sz w:val="24"/>
                <w:szCs w:val="24"/>
              </w:rPr>
              <w:t>Bản sao hoặc tệp tin chứa bản chụp chính</w:t>
            </w:r>
            <w:r w:rsidRPr="00D963D2">
              <w:rPr>
                <w:rFonts w:eastAsia="Times New Roman" w:cs="Times New Roman"/>
                <w:sz w:val="24"/>
                <w:szCs w:val="24"/>
              </w:rPr>
              <w:t> báo cáo kết quả khảo sát đánh giá chất lượng hiện trạng của công trình do tổ chức, cá nhân có đủ điều kiện năng lực thực hiện.</w:t>
            </w:r>
            <w:r w:rsidRPr="00D963D2">
              <w:rPr>
                <w:rFonts w:eastAsia="Times New Roman" w:cs="Times New Roman"/>
                <w:sz w:val="24"/>
                <w:szCs w:val="24"/>
              </w:rPr>
              <w:br/>
              <w:t>- </w:t>
            </w:r>
            <w:r w:rsidRPr="00D963D2">
              <w:rPr>
                <w:rFonts w:eastAsia="Times New Roman" w:cs="Times New Roman"/>
                <w:i/>
                <w:iCs/>
                <w:sz w:val="24"/>
                <w:szCs w:val="24"/>
              </w:rPr>
              <w:t>Bản sao hoặc tệp tin chứa bản chụp chính</w:t>
            </w:r>
            <w:r w:rsidRPr="00D963D2">
              <w:rPr>
                <w:rFonts w:eastAsia="Times New Roman" w:cs="Times New Roman"/>
                <w:sz w:val="24"/>
                <w:szCs w:val="24"/>
              </w:rPr>
              <w:t> phương án di dời gồm</w:t>
            </w:r>
            <w:r w:rsidRPr="00D963D2">
              <w:rPr>
                <w:rFonts w:eastAsia="Times New Roman" w:cs="Times New Roman"/>
                <w:sz w:val="24"/>
                <w:szCs w:val="24"/>
              </w:rPr>
              <w:b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r w:rsidRPr="00D963D2">
              <w:rPr>
                <w:rFonts w:eastAsia="Times New Roman" w:cs="Times New Roman"/>
                <w:sz w:val="24"/>
                <w:szCs w:val="24"/>
              </w:rPr>
              <w:br/>
              <w:t>+ Phần bản vẽ biện pháp thi công di dời công trình.</w:t>
            </w:r>
            <w:r w:rsidRPr="00D963D2">
              <w:rPr>
                <w:rFonts w:eastAsia="Times New Roman" w:cs="Times New Roman"/>
                <w:sz w:val="24"/>
                <w:szCs w:val="24"/>
              </w:rPr>
              <w:br/>
              <w:t>- Trường hợp thiết kế xây dựng của công trình đã được cơ quan chuyên môn về xây dựng thẩm định, các bản vẽ thiết kế quy định tại mục 3, mục 4 Điểm này là bản sao hoặc tệp tin chứa bản chụp các bản vẽ thiết kế xây dựng đã được cơ quan chuyên môn về xây dựng thẩm định.</w:t>
            </w:r>
            <w:r w:rsidRPr="00D963D2">
              <w:rPr>
                <w:rFonts w:eastAsia="Times New Roman" w:cs="Times New Roman"/>
                <w:sz w:val="24"/>
                <w:szCs w:val="24"/>
              </w:rPr>
              <w:br/>
              <w:t>Ngoài các tài liệu quy định đối với mỗi loại công trình nêu trên, hồ sơ đề nghị cấp hồ sơ đề nghị cấp phép xây dựng còn phải bổ sung thêm các tài liệu khác đối với các trường hợp sau:</w:t>
            </w:r>
            <w:r w:rsidRPr="00D963D2">
              <w:rPr>
                <w:rFonts w:eastAsia="Times New Roman" w:cs="Times New Roman"/>
                <w:sz w:val="24"/>
                <w:szCs w:val="24"/>
              </w:rPr>
              <w:br/>
              <w:t>+ Bản sao hoặc tệp tin chứa bản chụp chính báo cáo kết quả thẩm định thiết kế của cơ quan chuyên môn về xây dựng đối với công trình theo quy định phải được thẩm định thiết kế.</w:t>
            </w:r>
            <w:r w:rsidRPr="00D963D2">
              <w:rPr>
                <w:rFonts w:eastAsia="Times New Roman" w:cs="Times New Roman"/>
                <w:sz w:val="24"/>
                <w:szCs w:val="24"/>
              </w:rPr>
              <w:br/>
              <w:t>+ Bản sao hoặc tệp tin chứa bản chụp chính văn bản bản cam kết của chủ đầu tư bảo đảm an toàn cho công trình và công trình lân cận đối với công trình xây chen, có tầng hầm.</w:t>
            </w:r>
            <w:r w:rsidRPr="00D963D2">
              <w:rPr>
                <w:rFonts w:eastAsia="Times New Roman" w:cs="Times New Roman"/>
                <w:sz w:val="24"/>
                <w:szCs w:val="24"/>
              </w:rPr>
              <w:br/>
              <w:t>+ Bản sao hoặc tệp tin chứa bản chụp chính bản kê khai năng lực, kinh nghiệm của tổ chức, cá nhân thiết kế theo mẫu tại Phụ lục số 3 Thông tư số 15/2016/TT-BXD, kèm theo bản sao chứng chỉ hành nghề hoạt động xây dựng, đối với công trình chưa được cơ quan chuyên môn về xây dựng thẩm định thiết kế.</w:t>
            </w:r>
            <w:r w:rsidRPr="00D963D2">
              <w:rPr>
                <w:rFonts w:eastAsia="Times New Roman" w:cs="Times New Roman"/>
                <w:sz w:val="24"/>
                <w:szCs w:val="24"/>
              </w:rPr>
              <w:br/>
              <w:t>+ Bản sao hoặc tệp tin chứa bản chụp chính quyết định đầu tư đối với công trình yêu cầu phải lập dự án đầu tư xây dựng.</w:t>
            </w:r>
            <w:r w:rsidRPr="00D963D2">
              <w:rPr>
                <w:rFonts w:eastAsia="Times New Roman" w:cs="Times New Roman"/>
                <w:sz w:val="24"/>
                <w:szCs w:val="24"/>
              </w:rPr>
              <w:br/>
            </w:r>
            <w:r w:rsidRPr="00D963D2">
              <w:rPr>
                <w:rFonts w:eastAsia="Times New Roman" w:cs="Times New Roman"/>
                <w:b/>
                <w:bCs/>
                <w:sz w:val="24"/>
                <w:szCs w:val="24"/>
              </w:rPr>
              <w:t>Số lượng hồ sơ: </w:t>
            </w:r>
            <w:r w:rsidRPr="00D963D2">
              <w:rPr>
                <w:rFonts w:eastAsia="Times New Roman" w:cs="Times New Roman"/>
                <w:i/>
                <w:iCs/>
                <w:sz w:val="24"/>
                <w:szCs w:val="24"/>
              </w:rPr>
              <w:t>02 (bộ)</w:t>
            </w: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t>Thời hạn giải quyết</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jc w:val="both"/>
              <w:rPr>
                <w:rFonts w:eastAsia="Times New Roman" w:cs="Times New Roman"/>
                <w:sz w:val="24"/>
                <w:szCs w:val="24"/>
              </w:rPr>
            </w:pPr>
            <w:r w:rsidRPr="00D963D2">
              <w:rPr>
                <w:rFonts w:eastAsia="Times New Roman" w:cs="Times New Roman"/>
                <w:sz w:val="24"/>
                <w:szCs w:val="24"/>
              </w:rPr>
              <w:t>Không quá 20 ngày kể từ ngày nhận đủ hồ sơ hợp lệ.</w:t>
            </w: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t>Lệ phí</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t>Kết quả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jc w:val="both"/>
              <w:rPr>
                <w:rFonts w:eastAsia="Times New Roman" w:cs="Times New Roman"/>
                <w:sz w:val="24"/>
                <w:szCs w:val="24"/>
              </w:rPr>
            </w:pPr>
            <w:r w:rsidRPr="00D963D2">
              <w:rPr>
                <w:rFonts w:eastAsia="Times New Roman" w:cs="Times New Roman"/>
                <w:sz w:val="24"/>
                <w:szCs w:val="24"/>
              </w:rPr>
              <w:t>Giấy phép xây dựng kèm theo hồ sơ thiết kế trình xin cấp giấy phép xây dựng có đóng dấu của cơ quan có thẩm quyền cấp giấy phép xây dựng tại nơi tiếp nhận hồ sơ.</w:t>
            </w: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t xml:space="preserve">Cơ quan </w:t>
            </w:r>
            <w:r w:rsidRPr="00D963D2">
              <w:rPr>
                <w:rFonts w:eastAsia="Times New Roman" w:cs="Times New Roman"/>
                <w:sz w:val="24"/>
                <w:szCs w:val="24"/>
              </w:rPr>
              <w:lastRenderedPageBreak/>
              <w:t>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jc w:val="both"/>
              <w:rPr>
                <w:rFonts w:eastAsia="Times New Roman" w:cs="Times New Roman"/>
                <w:sz w:val="24"/>
                <w:szCs w:val="24"/>
              </w:rPr>
            </w:pPr>
            <w:r w:rsidRPr="00D963D2">
              <w:rPr>
                <w:rFonts w:eastAsia="Times New Roman" w:cs="Times New Roman"/>
                <w:sz w:val="24"/>
                <w:szCs w:val="24"/>
              </w:rPr>
              <w:lastRenderedPageBreak/>
              <w:t>Phòng Kinh tế - Hạ tầng</w:t>
            </w: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lastRenderedPageBreak/>
              <w:t>Đối tượng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jc w:val="both"/>
              <w:rPr>
                <w:rFonts w:eastAsia="Times New Roman" w:cs="Times New Roman"/>
                <w:sz w:val="24"/>
                <w:szCs w:val="24"/>
              </w:rPr>
            </w:pPr>
            <w:r w:rsidRPr="00D963D2">
              <w:rPr>
                <w:rFonts w:eastAsia="Times New Roman" w:cs="Times New Roman"/>
                <w:sz w:val="24"/>
                <w:szCs w:val="24"/>
              </w:rPr>
              <w:t>Chủ đầu tư</w:t>
            </w: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t>Yêu cầu hoặc điều kiện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t>Không</w:t>
            </w:r>
          </w:p>
        </w:tc>
      </w:tr>
      <w:tr w:rsidR="00D963D2" w:rsidRPr="00D963D2" w:rsidTr="00D963D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rPr>
                <w:rFonts w:eastAsia="Times New Roman" w:cs="Times New Roman"/>
                <w:sz w:val="24"/>
                <w:szCs w:val="24"/>
              </w:rPr>
            </w:pPr>
            <w:r w:rsidRPr="00D963D2">
              <w:rPr>
                <w:rFonts w:eastAsia="Times New Roman" w:cs="Times New Roman"/>
                <w:sz w:val="24"/>
                <w:szCs w:val="24"/>
              </w:rPr>
              <w:t>Căn cứ pháp lý</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3D2" w:rsidRPr="00D963D2" w:rsidRDefault="00D963D2" w:rsidP="00D963D2">
            <w:pPr>
              <w:spacing w:after="0" w:line="240" w:lineRule="auto"/>
              <w:jc w:val="both"/>
              <w:rPr>
                <w:rFonts w:eastAsia="Times New Roman" w:cs="Times New Roman"/>
                <w:sz w:val="24"/>
                <w:szCs w:val="24"/>
              </w:rPr>
            </w:pPr>
            <w:r w:rsidRPr="00D963D2">
              <w:rPr>
                <w:rFonts w:eastAsia="Times New Roman" w:cs="Times New Roman"/>
                <w:sz w:val="24"/>
                <w:szCs w:val="24"/>
              </w:rPr>
              <w:t>- Luật Xây dựng số 50/2014/QH13 ngày 18/6/2014;</w:t>
            </w:r>
            <w:r w:rsidRPr="00D963D2">
              <w:rPr>
                <w:rFonts w:eastAsia="Times New Roman" w:cs="Times New Roman"/>
                <w:sz w:val="24"/>
                <w:szCs w:val="24"/>
              </w:rPr>
              <w:br/>
              <w:t>- Nghị định số 59/2015/NĐ-CP ngày 18/6/2015 của Chính phủ về quản lý dự án đầu tư xây dựng;</w:t>
            </w:r>
            <w:r w:rsidRPr="00D963D2">
              <w:rPr>
                <w:rFonts w:eastAsia="Times New Roman" w:cs="Times New Roman"/>
                <w:sz w:val="24"/>
                <w:szCs w:val="24"/>
              </w:rPr>
              <w:br/>
            </w:r>
            <w:r w:rsidRPr="00D963D2">
              <w:rPr>
                <w:rFonts w:eastAsia="Times New Roman" w:cs="Times New Roman"/>
                <w:i/>
                <w:iCs/>
                <w:sz w:val="24"/>
                <w:szCs w:val="24"/>
              </w:rPr>
              <w:t>- Thông tư số 15/2016/TT-BXD ngày 30/6/2016 của Bộ Xây dựng hướng dẫn về cấp giấy phép xây dựng.</w:t>
            </w:r>
            <w:r w:rsidRPr="00D963D2">
              <w:rPr>
                <w:rFonts w:eastAsia="Times New Roman" w:cs="Times New Roman"/>
                <w:sz w:val="24"/>
                <w:szCs w:val="24"/>
              </w:rPr>
              <w:br/>
            </w:r>
            <w:r w:rsidRPr="00D963D2">
              <w:rPr>
                <w:rFonts w:eastAsia="Times New Roman" w:cs="Times New Roman"/>
                <w:i/>
                <w:iCs/>
                <w:sz w:val="24"/>
                <w:szCs w:val="24"/>
              </w:rPr>
              <w:t>- Nghị quyết số 48/2016/NQ-HĐND ngày 8/12/2016 của Hội đồng Nhân dân tỉnh Gia Lai về việc quy định mức thu, chế độ thu, nộp lệ phí cấp phép xây dựng áp dụng trên địa bàn tỉnh Gia Lai;</w:t>
            </w:r>
            <w:r w:rsidRPr="00D963D2">
              <w:rPr>
                <w:rFonts w:eastAsia="Times New Roman" w:cs="Times New Roman"/>
                <w:sz w:val="24"/>
                <w:szCs w:val="24"/>
              </w:rPr>
              <w:br/>
            </w:r>
            <w:r w:rsidRPr="00D963D2">
              <w:rPr>
                <w:rFonts w:eastAsia="Times New Roman" w:cs="Times New Roman"/>
                <w:i/>
                <w:iCs/>
                <w:sz w:val="24"/>
                <w:szCs w:val="24"/>
              </w:rPr>
              <w:t>- Quyết định số 49/2016/QĐ-UBND ngày 28/11/2016 của UBND tỉnh về hướng dẫn cấp phép xây dựng trên địa bàn tỉnh Gia Lai.</w:t>
            </w:r>
          </w:p>
        </w:tc>
      </w:tr>
    </w:tbl>
    <w:p w:rsidR="003E268A" w:rsidRDefault="00D963D2">
      <w:r w:rsidRPr="00D963D2">
        <w:rPr>
          <w:rFonts w:ascii="Tahoma" w:eastAsia="Times New Roman" w:hAnsi="Tahoma" w:cs="Tahoma"/>
          <w:color w:val="000000"/>
          <w:sz w:val="24"/>
          <w:szCs w:val="24"/>
          <w:shd w:val="clear" w:color="auto" w:fill="FFFFFF"/>
        </w:rPr>
        <w:t>* Mẫu đơn, mẫu tờ khai:</w:t>
      </w:r>
      <w:r w:rsidRPr="00D963D2">
        <w:rPr>
          <w:rFonts w:ascii="Tahoma" w:eastAsia="Times New Roman" w:hAnsi="Tahoma" w:cs="Tahoma"/>
          <w:color w:val="000000"/>
          <w:sz w:val="24"/>
          <w:szCs w:val="24"/>
        </w:rPr>
        <w:br/>
      </w:r>
      <w:r w:rsidRPr="00D963D2">
        <w:rPr>
          <w:rFonts w:ascii="Tahoma" w:eastAsia="Times New Roman" w:hAnsi="Tahoma" w:cs="Tahoma"/>
          <w:color w:val="000000"/>
          <w:sz w:val="24"/>
          <w:szCs w:val="24"/>
          <w:shd w:val="clear" w:color="auto" w:fill="FFFFFF"/>
        </w:rPr>
        <w:t>Các tập tin, biểu mẫu khác:</w:t>
      </w:r>
      <w:r w:rsidRPr="00D963D2">
        <w:rPr>
          <w:rFonts w:ascii="Tahoma" w:eastAsia="Times New Roman" w:hAnsi="Tahoma" w:cs="Tahoma"/>
          <w:color w:val="000000"/>
          <w:sz w:val="24"/>
          <w:szCs w:val="24"/>
        </w:rPr>
        <w:br/>
      </w:r>
      <w:r w:rsidRPr="00D963D2">
        <w:rPr>
          <w:rFonts w:ascii="Tahoma" w:eastAsia="Times New Roman" w:hAnsi="Tahoma" w:cs="Tahoma"/>
          <w:color w:val="000000"/>
          <w:sz w:val="24"/>
          <w:szCs w:val="24"/>
          <w:shd w:val="clear" w:color="auto" w:fill="FFFFFF"/>
        </w:rPr>
        <w:t>- </w:t>
      </w:r>
      <w:hyperlink r:id="rId6" w:tgtFrame="_blank" w:history="1">
        <w:r w:rsidRPr="00D963D2">
          <w:rPr>
            <w:rFonts w:ascii="Tahoma" w:eastAsia="Times New Roman" w:hAnsi="Tahoma" w:cs="Tahoma"/>
            <w:color w:val="000000"/>
            <w:sz w:val="24"/>
            <w:szCs w:val="24"/>
            <w:shd w:val="clear" w:color="auto" w:fill="FFFFFF"/>
          </w:rPr>
          <w:t>phu-luc-01.docx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36F0"/>
    <w:multiLevelType w:val="multilevel"/>
    <w:tmpl w:val="95AE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D2"/>
    <w:rsid w:val="003E268A"/>
    <w:rsid w:val="00D9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63D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3D2"/>
    <w:rPr>
      <w:rFonts w:eastAsia="Times New Roman" w:cs="Times New Roman"/>
      <w:b/>
      <w:bCs/>
      <w:sz w:val="27"/>
      <w:szCs w:val="27"/>
    </w:rPr>
  </w:style>
  <w:style w:type="character" w:styleId="Strong">
    <w:name w:val="Strong"/>
    <w:basedOn w:val="DefaultParagraphFont"/>
    <w:uiPriority w:val="22"/>
    <w:qFormat/>
    <w:rsid w:val="00D963D2"/>
    <w:rPr>
      <w:b/>
      <w:bCs/>
    </w:rPr>
  </w:style>
  <w:style w:type="character" w:styleId="Emphasis">
    <w:name w:val="Emphasis"/>
    <w:basedOn w:val="DefaultParagraphFont"/>
    <w:uiPriority w:val="20"/>
    <w:qFormat/>
    <w:rsid w:val="00D963D2"/>
    <w:rPr>
      <w:i/>
      <w:iCs/>
    </w:rPr>
  </w:style>
  <w:style w:type="character" w:styleId="Hyperlink">
    <w:name w:val="Hyperlink"/>
    <w:basedOn w:val="DefaultParagraphFont"/>
    <w:uiPriority w:val="99"/>
    <w:semiHidden/>
    <w:unhideWhenUsed/>
    <w:rsid w:val="00D96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63D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3D2"/>
    <w:rPr>
      <w:rFonts w:eastAsia="Times New Roman" w:cs="Times New Roman"/>
      <w:b/>
      <w:bCs/>
      <w:sz w:val="27"/>
      <w:szCs w:val="27"/>
    </w:rPr>
  </w:style>
  <w:style w:type="character" w:styleId="Strong">
    <w:name w:val="Strong"/>
    <w:basedOn w:val="DefaultParagraphFont"/>
    <w:uiPriority w:val="22"/>
    <w:qFormat/>
    <w:rsid w:val="00D963D2"/>
    <w:rPr>
      <w:b/>
      <w:bCs/>
    </w:rPr>
  </w:style>
  <w:style w:type="character" w:styleId="Emphasis">
    <w:name w:val="Emphasis"/>
    <w:basedOn w:val="DefaultParagraphFont"/>
    <w:uiPriority w:val="20"/>
    <w:qFormat/>
    <w:rsid w:val="00D963D2"/>
    <w:rPr>
      <w:i/>
      <w:iCs/>
    </w:rPr>
  </w:style>
  <w:style w:type="character" w:styleId="Hyperlink">
    <w:name w:val="Hyperlink"/>
    <w:basedOn w:val="DefaultParagraphFont"/>
    <w:uiPriority w:val="99"/>
    <w:semiHidden/>
    <w:unhideWhenUsed/>
    <w:rsid w:val="00D96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1024">
      <w:bodyDiv w:val="1"/>
      <w:marLeft w:val="0"/>
      <w:marRight w:val="0"/>
      <w:marTop w:val="0"/>
      <w:marBottom w:val="0"/>
      <w:divBdr>
        <w:top w:val="none" w:sz="0" w:space="0" w:color="auto"/>
        <w:left w:val="none" w:sz="0" w:space="0" w:color="auto"/>
        <w:bottom w:val="none" w:sz="0" w:space="0" w:color="auto"/>
        <w:right w:val="none" w:sz="0" w:space="0" w:color="auto"/>
      </w:divBdr>
      <w:divsChild>
        <w:div w:id="119152210">
          <w:marLeft w:val="0"/>
          <w:marRight w:val="0"/>
          <w:marTop w:val="0"/>
          <w:marBottom w:val="0"/>
          <w:divBdr>
            <w:top w:val="none" w:sz="0" w:space="0" w:color="auto"/>
            <w:left w:val="none" w:sz="0" w:space="0" w:color="auto"/>
            <w:bottom w:val="none" w:sz="0" w:space="0" w:color="auto"/>
            <w:right w:val="none" w:sz="0" w:space="0" w:color="auto"/>
          </w:divBdr>
          <w:divsChild>
            <w:div w:id="18727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bang.gialai.gov.vn/getattachment/SpecialPages/kkk/Botthcc/botthccaphuyen/Linh-vuc-xay-dung/Thu-tuc-cap-giay-phep-xay-dung-%C4%91oi-voi-truong-hop/phu-luc-01.docx.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2020-03-09T07:21:00Z</dcterms:created>
  <dcterms:modified xsi:type="dcterms:W3CDTF">2020-03-09T07:21:00Z</dcterms:modified>
</cp:coreProperties>
</file>