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B5" w:rsidRPr="00266EB5" w:rsidRDefault="00266EB5" w:rsidP="00266EB5">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r w:rsidRPr="00266EB5">
        <w:rPr>
          <w:rFonts w:ascii="Tahoma" w:eastAsia="Times New Roman" w:hAnsi="Tahoma" w:cs="Tahoma"/>
          <w:b/>
          <w:bCs/>
          <w:color w:val="000000"/>
          <w:sz w:val="25"/>
          <w:szCs w:val="25"/>
        </w:rPr>
        <w:t>THÔNG BÁO TỔ CHỨC QUYÊN GÓP NGOÀI ĐỊA BÀN MỘT XÃ NHƯNG TRONG ĐỊA BÀN MỘT HUYỆN, QUẬN, THỊ XÃ, THÀNH PHỐ THUỘC TỈNH, THÀNH PHỐ THUỘC THÀNH PHỐ TRỰC THUỘC TRUNG ƯƠNG CỦA CƠ SỞ TÍN NGƯỠNG, TỔ CHỨC TÔN GI</w:t>
      </w:r>
      <w:r>
        <w:rPr>
          <w:rFonts w:ascii="Tahoma" w:eastAsia="Times New Roman" w:hAnsi="Tahoma" w:cs="Tahoma"/>
          <w:b/>
          <w:bCs/>
          <w:color w:val="000000"/>
          <w:sz w:val="25"/>
          <w:szCs w:val="25"/>
        </w:rPr>
        <w:t>ÁO</w:t>
      </w:r>
    </w:p>
    <w:tbl>
      <w:tblPr>
        <w:tblW w:w="9796"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8806"/>
      </w:tblGrid>
      <w:tr w:rsidR="00266EB5" w:rsidRPr="00266EB5" w:rsidTr="00266EB5">
        <w:trPr>
          <w:gridAfter w:val="1"/>
          <w:wAfter w:w="8806" w:type="dxa"/>
        </w:trPr>
        <w:tc>
          <w:tcPr>
            <w:tcW w:w="0" w:type="auto"/>
            <w:shd w:val="clear" w:color="auto" w:fill="FFFFFF"/>
            <w:vAlign w:val="center"/>
            <w:hideMark/>
          </w:tcPr>
          <w:p w:rsidR="00266EB5" w:rsidRPr="00266EB5" w:rsidRDefault="00266EB5" w:rsidP="00266EB5">
            <w:pPr>
              <w:spacing w:after="0" w:line="240" w:lineRule="auto"/>
              <w:rPr>
                <w:rFonts w:eastAsia="Times New Roman" w:cs="Times New Roman"/>
                <w:sz w:val="24"/>
                <w:szCs w:val="24"/>
              </w:rPr>
            </w:pP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Thẩm quyền giải quyết</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UBND cấp huyện</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Lĩnh vực</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Tôn giáo</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Cách thức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Gửi văn bản thông báo trực tiếp tại Ủy ban nhân dân cấp huyện; qua đường bưu chính hoặc thông qua dịch vụ công trực tuyến.</w:t>
            </w:r>
            <w:r w:rsidRPr="00266EB5">
              <w:rPr>
                <w:rFonts w:eastAsia="Times New Roman" w:cs="Times New Roman"/>
                <w:sz w:val="24"/>
                <w:szCs w:val="24"/>
              </w:rPr>
              <w:br/>
              <w:t>Văn bản thông báo phải có xác nhận của Ủy ban nhân dân cấp huyện. Nếu gửi qua đường bưu chính, ngày tiếp nhận văn bản thông báo được tính theo ngày ghi trên dấu công văn đến.</w:t>
            </w:r>
            <w:bookmarkStart w:id="0" w:name="_GoBack"/>
            <w:bookmarkEnd w:id="0"/>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Trình tự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Trước khi tổ chức quyên góp 10 ngày, cơ sở tín ngưỡng, tổ chức tôn giáo, tổ chức tôn giáo trực thuộc tổ chức quyên góp ngoài địa bàn một xã nhưng trong địa bàn một huyện, quận, thị xã, thành phố thuộc tỉnh, thành phố thuộc thành phố trực thuộc trung ương thông báo bằng văn bản đến Ủy ban nhân dân cấp huyện nơi tổ chức quyên góp.</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Thành phần hồ sơ</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 Thành phần hồ sơ: Văn bản thông báo (theo mẫu) và các tài liệu kèm theo (nếu có).</w:t>
            </w:r>
            <w:r w:rsidRPr="00266EB5">
              <w:rPr>
                <w:rFonts w:eastAsia="Times New Roman" w:cs="Times New Roman"/>
                <w:sz w:val="24"/>
                <w:szCs w:val="24"/>
              </w:rPr>
              <w:br/>
              <w:t>- Số lượng hồ sơ: 01 (bộ).</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Thời hạn giải quyết</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Ngay sau khi Ủy ban nhân dân cấp huyện nhận được văn bản thông báo hợp lệ.</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Lệ phí</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Không</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Kết quả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Văn bản xác nhận của Ủy ban nhân dân cấp huyện về việc tiếp nhận thông báo.</w:t>
            </w:r>
            <w:r w:rsidRPr="00266EB5">
              <w:rPr>
                <w:rFonts w:eastAsia="Times New Roman" w:cs="Times New Roman"/>
                <w:sz w:val="24"/>
                <w:szCs w:val="24"/>
              </w:rPr>
              <w:br/>
              <w:t>Văn bản thông báo được lưu tại Ủy ban nhân dân cấp huyện để thực hiện công tác quản lý nhà nước về tín ngưỡng, tôn giáo và kiểm tra việc thực hiện các nội dung trong văn bản thông báo của cơ sở tín ngưỡng, tổ chức tôn giáo, tổ chức tôn giáo trực thuộc.</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Cơ quan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b/>
                <w:bCs/>
                <w:i/>
                <w:iCs/>
                <w:sz w:val="24"/>
                <w:szCs w:val="24"/>
              </w:rPr>
              <w:t>- </w:t>
            </w:r>
            <w:r w:rsidRPr="00266EB5">
              <w:rPr>
                <w:rFonts w:eastAsia="Times New Roman" w:cs="Times New Roman"/>
                <w:b/>
                <w:bCs/>
                <w:sz w:val="24"/>
                <w:szCs w:val="24"/>
              </w:rPr>
              <w:t>Cơ quan có thẩm quyền tiếp nhận thông báo: </w:t>
            </w:r>
            <w:r w:rsidRPr="00266EB5">
              <w:rPr>
                <w:rFonts w:eastAsia="Times New Roman" w:cs="Times New Roman"/>
                <w:sz w:val="24"/>
                <w:szCs w:val="24"/>
              </w:rPr>
              <w:t>Ủy ban nhân dân cấp huyện.</w:t>
            </w:r>
            <w:r w:rsidRPr="00266EB5">
              <w:rPr>
                <w:rFonts w:eastAsia="Times New Roman" w:cs="Times New Roman"/>
                <w:sz w:val="24"/>
                <w:szCs w:val="24"/>
              </w:rPr>
              <w:br/>
            </w:r>
            <w:r w:rsidRPr="00266EB5">
              <w:rPr>
                <w:rFonts w:eastAsia="Times New Roman" w:cs="Times New Roman"/>
                <w:b/>
                <w:bCs/>
                <w:sz w:val="24"/>
                <w:szCs w:val="24"/>
              </w:rPr>
              <w:t>- Cơ quan trực tiếp thực hiện thủ tục hành chính: </w:t>
            </w:r>
            <w:r w:rsidRPr="00266EB5">
              <w:rPr>
                <w:rFonts w:eastAsia="Times New Roman" w:cs="Times New Roman"/>
                <w:sz w:val="24"/>
                <w:szCs w:val="24"/>
              </w:rPr>
              <w:t>Phòng Nội vụ.</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Đối tượng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Cơ sở tín ngưỡng, tổ chức tôn giáo, tổ chức tôn giáo trực thuộc tổ chức quyên góp ngoài địa bàn một xã nhưng trong địa bàn một huyện, quận, thị xã, thành phố thuộc tỉnh, thành phố thuộc thành phố trực thuộc trung ương.</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Yêu cầu hoặc điều kiện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 Trước khi tổ chức quyên góp 10 ngày, cơ sở tín ngưỡng, tổ chức tôn giáo, tổ chức tôn giáo trực thuộc tổ chức quyên góp ngoài địa bàn một xã nhưng trong địa bàn một huyện, quận, thị xã, thành phố thuộc tỉnh, thành phố thuộc thành phố trực thuộc trung ương có trách nhiệm thông báo bằng văn bản đến Phòng Nội vụ nơi tổ chức quyên góp.</w:t>
            </w:r>
            <w:r w:rsidRPr="00266EB5">
              <w:rPr>
                <w:rFonts w:eastAsia="Times New Roman" w:cs="Times New Roman"/>
                <w:sz w:val="24"/>
                <w:szCs w:val="24"/>
              </w:rPr>
              <w:br/>
              <w:t xml:space="preserve">- Hoạt động quyên góp của cơ sở tín ngưỡng, tổ chức tôn giáo, tổ chức tôn giáo trực thuộc phải có sổ sách thu, chi bảo đảm công khai, minh bạch. Tài sản được quyên góp phải được quản lý, sử dụng đúng mục đích đã thông báo, phục vụ cho hoạt động tín ngưỡng, hoạt </w:t>
            </w:r>
            <w:r w:rsidRPr="00266EB5">
              <w:rPr>
                <w:rFonts w:eastAsia="Times New Roman" w:cs="Times New Roman"/>
                <w:sz w:val="24"/>
                <w:szCs w:val="24"/>
              </w:rPr>
              <w:lastRenderedPageBreak/>
              <w:t>động tôn giáo và từ thiện xã hội.</w:t>
            </w:r>
            <w:r w:rsidRPr="00266EB5">
              <w:rPr>
                <w:rFonts w:eastAsia="Times New Roman" w:cs="Times New Roman"/>
                <w:sz w:val="24"/>
                <w:szCs w:val="24"/>
              </w:rPr>
              <w:br/>
              <w:t>- Không được lợi dụng danh nghĩa cơ sở tín ngưỡng, tổ chức tôn giáo, tổ chức tôn giáo trực thuộc để quyên góp nhằm trục lợi hoặc trái mục đích quyên góp.</w:t>
            </w:r>
          </w:p>
        </w:tc>
      </w:tr>
      <w:tr w:rsidR="00266EB5" w:rsidRPr="00266EB5" w:rsidTr="00266EB5">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lastRenderedPageBreak/>
              <w:t>Căn cứ pháp lý</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66EB5" w:rsidRPr="00266EB5" w:rsidRDefault="00266EB5" w:rsidP="00266EB5">
            <w:pPr>
              <w:spacing w:after="0" w:line="240" w:lineRule="auto"/>
              <w:rPr>
                <w:rFonts w:eastAsia="Times New Roman" w:cs="Times New Roman"/>
                <w:sz w:val="24"/>
                <w:szCs w:val="24"/>
              </w:rPr>
            </w:pPr>
            <w:r w:rsidRPr="00266EB5">
              <w:rPr>
                <w:rFonts w:eastAsia="Times New Roman" w:cs="Times New Roman"/>
                <w:sz w:val="24"/>
                <w:szCs w:val="24"/>
              </w:rPr>
              <w:t>- Luật tín ngưỡng, tôn giáo (Luật số 02/2016/QH14 ngày 18/11/2016).</w:t>
            </w:r>
            <w:r w:rsidRPr="00266EB5">
              <w:rPr>
                <w:rFonts w:eastAsia="Times New Roman" w:cs="Times New Roman"/>
                <w:sz w:val="24"/>
                <w:szCs w:val="24"/>
              </w:rPr>
              <w:br/>
              <w:t>- Nghị định số 162/2017/NĐ-CP ngày 30/12/2017 của Chính phủ quy định chi tiết một số điều và biện pháp thi hành Luật tín ngưỡng, tôn giáo.</w:t>
            </w:r>
            <w:r w:rsidRPr="00266EB5">
              <w:rPr>
                <w:rFonts w:eastAsia="Times New Roman" w:cs="Times New Roman"/>
                <w:sz w:val="24"/>
                <w:szCs w:val="24"/>
              </w:rPr>
              <w:br/>
              <w:t>- Thông tư số 02/2017/TT-VPCP ngày 31/10/2017 của Văn phòng Chính phủ hướng dẫn về nghiệp vụ kiểm soát thủ tục hành chính.</w:t>
            </w:r>
          </w:p>
        </w:tc>
      </w:tr>
    </w:tbl>
    <w:p w:rsidR="00266EB5" w:rsidRPr="00266EB5" w:rsidRDefault="00266EB5" w:rsidP="00266EB5">
      <w:pPr>
        <w:shd w:val="clear" w:color="auto" w:fill="FFFFFF"/>
        <w:spacing w:after="0" w:line="240" w:lineRule="auto"/>
        <w:rPr>
          <w:rFonts w:ascii="Tahoma" w:eastAsia="Times New Roman" w:hAnsi="Tahoma" w:cs="Tahoma"/>
          <w:color w:val="000000"/>
          <w:sz w:val="24"/>
          <w:szCs w:val="24"/>
        </w:rPr>
      </w:pPr>
      <w:r w:rsidRPr="00266EB5">
        <w:rPr>
          <w:rFonts w:ascii="Tahoma" w:eastAsia="Times New Roman" w:hAnsi="Tahoma" w:cs="Tahoma"/>
          <w:color w:val="000000"/>
          <w:sz w:val="24"/>
          <w:szCs w:val="24"/>
        </w:rPr>
        <w:t>* Mẫu đơn, mẫu tờ khai:</w:t>
      </w:r>
      <w:r w:rsidRPr="00266EB5">
        <w:rPr>
          <w:rFonts w:ascii="Tahoma" w:eastAsia="Times New Roman" w:hAnsi="Tahoma" w:cs="Tahoma"/>
          <w:color w:val="000000"/>
          <w:sz w:val="24"/>
          <w:szCs w:val="24"/>
        </w:rPr>
        <w:br/>
        <w:t>Các tập tin, biểu mẫu khác:</w:t>
      </w:r>
      <w:r w:rsidRPr="00266EB5">
        <w:rPr>
          <w:rFonts w:ascii="Tahoma" w:eastAsia="Times New Roman" w:hAnsi="Tahoma" w:cs="Tahoma"/>
          <w:color w:val="000000"/>
          <w:sz w:val="24"/>
          <w:szCs w:val="24"/>
        </w:rPr>
        <w:br/>
        <w:t>- </w:t>
      </w:r>
      <w:hyperlink r:id="rId5" w:tgtFrame="_blank" w:history="1">
        <w:r w:rsidRPr="00266EB5">
          <w:rPr>
            <w:rFonts w:ascii="Tahoma" w:eastAsia="Times New Roman" w:hAnsi="Tahoma" w:cs="Tahoma"/>
            <w:color w:val="000000"/>
            <w:sz w:val="24"/>
            <w:szCs w:val="24"/>
          </w:rPr>
          <w:t>Mau-B47.doc</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B5"/>
    <w:rsid w:val="00266EB5"/>
    <w:rsid w:val="003E268A"/>
    <w:rsid w:val="0094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6EB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6EB5"/>
    <w:rPr>
      <w:rFonts w:eastAsia="Times New Roman" w:cs="Times New Roman"/>
      <w:b/>
      <w:bCs/>
      <w:sz w:val="27"/>
      <w:szCs w:val="27"/>
    </w:rPr>
  </w:style>
  <w:style w:type="character" w:styleId="Strong">
    <w:name w:val="Strong"/>
    <w:basedOn w:val="DefaultParagraphFont"/>
    <w:uiPriority w:val="22"/>
    <w:qFormat/>
    <w:rsid w:val="00266EB5"/>
    <w:rPr>
      <w:b/>
      <w:bCs/>
    </w:rPr>
  </w:style>
  <w:style w:type="character" w:styleId="Emphasis">
    <w:name w:val="Emphasis"/>
    <w:basedOn w:val="DefaultParagraphFont"/>
    <w:uiPriority w:val="20"/>
    <w:qFormat/>
    <w:rsid w:val="00266EB5"/>
    <w:rPr>
      <w:i/>
      <w:iCs/>
    </w:rPr>
  </w:style>
  <w:style w:type="character" w:styleId="Hyperlink">
    <w:name w:val="Hyperlink"/>
    <w:basedOn w:val="DefaultParagraphFont"/>
    <w:uiPriority w:val="99"/>
    <w:semiHidden/>
    <w:unhideWhenUsed/>
    <w:rsid w:val="00266E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6EB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6EB5"/>
    <w:rPr>
      <w:rFonts w:eastAsia="Times New Roman" w:cs="Times New Roman"/>
      <w:b/>
      <w:bCs/>
      <w:sz w:val="27"/>
      <w:szCs w:val="27"/>
    </w:rPr>
  </w:style>
  <w:style w:type="character" w:styleId="Strong">
    <w:name w:val="Strong"/>
    <w:basedOn w:val="DefaultParagraphFont"/>
    <w:uiPriority w:val="22"/>
    <w:qFormat/>
    <w:rsid w:val="00266EB5"/>
    <w:rPr>
      <w:b/>
      <w:bCs/>
    </w:rPr>
  </w:style>
  <w:style w:type="character" w:styleId="Emphasis">
    <w:name w:val="Emphasis"/>
    <w:basedOn w:val="DefaultParagraphFont"/>
    <w:uiPriority w:val="20"/>
    <w:qFormat/>
    <w:rsid w:val="00266EB5"/>
    <w:rPr>
      <w:i/>
      <w:iCs/>
    </w:rPr>
  </w:style>
  <w:style w:type="character" w:styleId="Hyperlink">
    <w:name w:val="Hyperlink"/>
    <w:basedOn w:val="DefaultParagraphFont"/>
    <w:uiPriority w:val="99"/>
    <w:semiHidden/>
    <w:unhideWhenUsed/>
    <w:rsid w:val="00266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79130">
      <w:bodyDiv w:val="1"/>
      <w:marLeft w:val="0"/>
      <w:marRight w:val="0"/>
      <w:marTop w:val="0"/>
      <w:marBottom w:val="0"/>
      <w:divBdr>
        <w:top w:val="none" w:sz="0" w:space="0" w:color="auto"/>
        <w:left w:val="none" w:sz="0" w:space="0" w:color="auto"/>
        <w:bottom w:val="none" w:sz="0" w:space="0" w:color="auto"/>
        <w:right w:val="none" w:sz="0" w:space="0" w:color="auto"/>
      </w:divBdr>
      <w:divsChild>
        <w:div w:id="1569267871">
          <w:marLeft w:val="0"/>
          <w:marRight w:val="0"/>
          <w:marTop w:val="0"/>
          <w:marBottom w:val="0"/>
          <w:divBdr>
            <w:top w:val="none" w:sz="0" w:space="0" w:color="auto"/>
            <w:left w:val="none" w:sz="0" w:space="0" w:color="auto"/>
            <w:bottom w:val="none" w:sz="0" w:space="0" w:color="auto"/>
            <w:right w:val="none" w:sz="0" w:space="0" w:color="auto"/>
          </w:divBdr>
          <w:divsChild>
            <w:div w:id="128132705">
              <w:marLeft w:val="0"/>
              <w:marRight w:val="0"/>
              <w:marTop w:val="0"/>
              <w:marBottom w:val="0"/>
              <w:divBdr>
                <w:top w:val="none" w:sz="0" w:space="0" w:color="auto"/>
                <w:left w:val="none" w:sz="0" w:space="0" w:color="auto"/>
                <w:bottom w:val="none" w:sz="0" w:space="0" w:color="auto"/>
                <w:right w:val="none" w:sz="0" w:space="0" w:color="auto"/>
              </w:divBdr>
              <w:divsChild>
                <w:div w:id="1959406999">
                  <w:marLeft w:val="0"/>
                  <w:marRight w:val="0"/>
                  <w:marTop w:val="0"/>
                  <w:marBottom w:val="0"/>
                  <w:divBdr>
                    <w:top w:val="none" w:sz="0" w:space="0" w:color="auto"/>
                    <w:left w:val="none" w:sz="0" w:space="0" w:color="auto"/>
                    <w:bottom w:val="none" w:sz="0" w:space="0" w:color="auto"/>
                    <w:right w:val="none" w:sz="0" w:space="0" w:color="auto"/>
                  </w:divBdr>
                  <w:divsChild>
                    <w:div w:id="1827890766">
                      <w:marLeft w:val="0"/>
                      <w:marRight w:val="0"/>
                      <w:marTop w:val="0"/>
                      <w:marBottom w:val="0"/>
                      <w:divBdr>
                        <w:top w:val="none" w:sz="0" w:space="0" w:color="auto"/>
                        <w:left w:val="none" w:sz="0" w:space="0" w:color="auto"/>
                        <w:bottom w:val="none" w:sz="0" w:space="0" w:color="auto"/>
                        <w:right w:val="none" w:sz="0" w:space="0" w:color="auto"/>
                      </w:divBdr>
                      <w:divsChild>
                        <w:div w:id="2130707185">
                          <w:marLeft w:val="0"/>
                          <w:marRight w:val="0"/>
                          <w:marTop w:val="0"/>
                          <w:marBottom w:val="0"/>
                          <w:divBdr>
                            <w:top w:val="none" w:sz="0" w:space="0" w:color="auto"/>
                            <w:left w:val="none" w:sz="0" w:space="0" w:color="auto"/>
                            <w:bottom w:val="none" w:sz="0" w:space="0" w:color="auto"/>
                            <w:right w:val="none" w:sz="0" w:space="0" w:color="auto"/>
                          </w:divBdr>
                          <w:divsChild>
                            <w:div w:id="16672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bang.gialai.gov.vn/getattachment/SpecialPages/kkk/Botthcc/botthccaphuyen/Ton-giao-To-chuc-bo-may-Thi-%C4%91ua-khen-thuong-Tuyen/THONG-BAO-TO-CHUC-QUYEN-GOP-NGOAI-%C4%90IA-BAN-MOT-XA-N/Mau-B47.do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2020-01-20T09:48:00Z</cp:lastPrinted>
  <dcterms:created xsi:type="dcterms:W3CDTF">2020-01-20T09:47:00Z</dcterms:created>
  <dcterms:modified xsi:type="dcterms:W3CDTF">2020-01-20T09:48:00Z</dcterms:modified>
</cp:coreProperties>
</file>