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86" w:rsidRPr="00880D86" w:rsidRDefault="00880D86" w:rsidP="00880D86">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880D86">
        <w:rPr>
          <w:rFonts w:ascii="Tahoma" w:eastAsia="Times New Roman" w:hAnsi="Tahoma" w:cs="Tahoma"/>
          <w:b/>
          <w:bCs/>
          <w:color w:val="000000"/>
          <w:sz w:val="25"/>
          <w:szCs w:val="25"/>
        </w:rPr>
        <w:t>ĐỀ NGHỊ TỔ CHỨC CUỘC LỄ NGOÀI CƠ SỞ TÔN GIÁO, ĐỊA ĐIỂM HỢP PHÁP ĐÃ ĐĂNG KÝ CÓ QUY MÔ TỔ CHỨC Ở MỘT HUYỆN</w:t>
      </w:r>
    </w:p>
    <w:bookmarkEnd w:id="0"/>
    <w:tbl>
      <w:tblPr>
        <w:tblW w:w="1008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090"/>
      </w:tblGrid>
      <w:tr w:rsidR="00880D86" w:rsidRPr="00880D86" w:rsidTr="00880D86">
        <w:trPr>
          <w:gridAfter w:val="1"/>
          <w:wAfter w:w="9090" w:type="dxa"/>
        </w:trPr>
        <w:tc>
          <w:tcPr>
            <w:tcW w:w="0" w:type="auto"/>
            <w:shd w:val="clear" w:color="auto" w:fill="FFFFFF"/>
            <w:vAlign w:val="center"/>
            <w:hideMark/>
          </w:tcPr>
          <w:p w:rsidR="00880D86" w:rsidRPr="00880D86" w:rsidRDefault="00880D86" w:rsidP="00880D86">
            <w:pPr>
              <w:spacing w:after="0" w:line="240" w:lineRule="auto"/>
              <w:rPr>
                <w:rFonts w:eastAsia="Times New Roman" w:cs="Times New Roman"/>
                <w:sz w:val="24"/>
                <w:szCs w:val="24"/>
              </w:rPr>
            </w:pP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Thẩm quyền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UBND cấp huyện</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Lĩnh vực</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Tôn giáo</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Cách thức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Nộp hồ sơ trực tiếp tại Phòng Nội vụ; qua đường bưu chính hoặc thông qua dịch vụ công trực tuyến.</w:t>
            </w:r>
            <w:r w:rsidRPr="00880D86">
              <w:rPr>
                <w:rFonts w:eastAsia="Times New Roman" w:cs="Times New Roman"/>
                <w:sz w:val="24"/>
                <w:szCs w:val="24"/>
              </w:rPr>
              <w:br/>
              <w:t>Phòng Nội vụ tiếp nhận hồ sơ và có giấy hẹn trả kết quả. Nếu gửi qua đường bưu chính, ngày tiếp nhận hồ sơ được tính theo ngày ghi trên dấu công văn đến.</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Trình tự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 Bước 1: Trước khi tổ chức cuộc lễ ngoài cơ sở tôn giáo, địa điểm hợp pháp đã đăng ký có quy mô tổ chức ở một huyện, tổ chức tôn giáo, tổ chức tôn giáo trực thuộc, tổ chức được cấp chứng nhận đăng ký hoạt động tôn giáo gửi hồ sơ đề nghị đến Phòng Nội vụ.</w:t>
            </w:r>
            <w:r w:rsidRPr="00880D86">
              <w:rPr>
                <w:rFonts w:eastAsia="Times New Roman" w:cs="Times New Roman"/>
                <w:sz w:val="24"/>
                <w:szCs w:val="24"/>
              </w:rPr>
              <w:br/>
              <w:t>- Bước 2: Phòng Nội vụ xem xét hồ sơ, trường hợp hồ sơ chưa đầy đủ, hợp lệ, Phòng Nội vụ thông báo qua mạng Internet hoặc văn bản cho tổ chức để hoàn chỉnh hồ sơ.</w:t>
            </w:r>
            <w:r w:rsidRPr="00880D86">
              <w:rPr>
                <w:rFonts w:eastAsia="Times New Roman" w:cs="Times New Roman"/>
                <w:sz w:val="24"/>
                <w:szCs w:val="24"/>
              </w:rPr>
              <w:br/>
              <w:t>- Bước 3:</w:t>
            </w:r>
            <w:r w:rsidRPr="00880D86">
              <w:rPr>
                <w:rFonts w:eastAsia="Times New Roman" w:cs="Times New Roman"/>
                <w:sz w:val="24"/>
                <w:szCs w:val="24"/>
              </w:rPr>
              <w:br/>
              <w:t>+ Phòng Nội vụ phối hợp với các cơ quan liên quan thẩm định hồ sơ trình Ủy ban nhân dân cấp huyện.</w:t>
            </w:r>
            <w:r w:rsidRPr="00880D86">
              <w:rPr>
                <w:rFonts w:eastAsia="Times New Roman" w:cs="Times New Roman"/>
                <w:sz w:val="24"/>
                <w:szCs w:val="24"/>
              </w:rPr>
              <w:br/>
              <w:t>+ Ủy ban nhân dân cấp huyện căn cứ Tờ trình của Phòng Nội vụ chấp thuận hoặc không chấp thuận về việc tổ chức cuộc lễ ngoài cơ sở tôn giáo, địa điểm hợp pháp đã đăng ký. Trường hợp từ chối đề nghị phải trả lời bằng văn bản và nêu rõ lý do.</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Thành phần hồ sơ</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 Thành phần hồ sơ: Văn bản đề nghị (theo mẫu);</w:t>
            </w:r>
            <w:r w:rsidRPr="00880D86">
              <w:rPr>
                <w:rFonts w:eastAsia="Times New Roman" w:cs="Times New Roman"/>
                <w:sz w:val="24"/>
                <w:szCs w:val="24"/>
              </w:rPr>
              <w:br/>
              <w:t>- Số lượng hồ sơ: 01 (bộ).</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Thời hạn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25 ngày kể từ ngày Phòng Nội vụ nhận đủ hồ sơ đề nghị hợp lệ.</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Lệ phí</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Không</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Kết quả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 Văn bản trả lời chấp thuận hoặc không chấp thuận về việc tổ chức cuộc lễ ngoài cơ sở tôn giáo, địa điểm hợp pháp đã đăng ký.</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Cơ quan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b/>
                <w:bCs/>
                <w:i/>
                <w:iCs/>
                <w:sz w:val="24"/>
                <w:szCs w:val="24"/>
              </w:rPr>
              <w:t>- </w:t>
            </w:r>
            <w:r w:rsidRPr="00880D86">
              <w:rPr>
                <w:rFonts w:eastAsia="Times New Roman" w:cs="Times New Roman"/>
                <w:b/>
                <w:bCs/>
                <w:sz w:val="24"/>
                <w:szCs w:val="24"/>
              </w:rPr>
              <w:t>Cơ quan có thẩm quyền quyết định: </w:t>
            </w:r>
            <w:r w:rsidRPr="00880D86">
              <w:rPr>
                <w:rFonts w:eastAsia="Times New Roman" w:cs="Times New Roman"/>
                <w:sz w:val="24"/>
                <w:szCs w:val="24"/>
              </w:rPr>
              <w:t>Ủy ban nhân dân cấp huyện.</w:t>
            </w:r>
            <w:r w:rsidRPr="00880D86">
              <w:rPr>
                <w:rFonts w:eastAsia="Times New Roman" w:cs="Times New Roman"/>
                <w:sz w:val="24"/>
                <w:szCs w:val="24"/>
              </w:rPr>
              <w:br/>
              <w:t>- </w:t>
            </w:r>
            <w:r w:rsidRPr="00880D86">
              <w:rPr>
                <w:rFonts w:eastAsia="Times New Roman" w:cs="Times New Roman"/>
                <w:b/>
                <w:bCs/>
                <w:sz w:val="24"/>
                <w:szCs w:val="24"/>
              </w:rPr>
              <w:t>Cơ quan trực tiếp thực hiện thủ tục hành chính: </w:t>
            </w:r>
            <w:r w:rsidRPr="00880D86">
              <w:rPr>
                <w:rFonts w:eastAsia="Times New Roman" w:cs="Times New Roman"/>
                <w:sz w:val="24"/>
                <w:szCs w:val="24"/>
              </w:rPr>
              <w:t>Phòng Nội vụ.</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Đối tượng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Tổ chức tôn giáo, tổ chức tôn giáo trực thuộc, tổ chức được cấp chứng nhận đăng ký hoạt động tôn giáo tổ chức cuộc lễ ngoài cơ sở tôn giáo, địa điểm hợp pháp đã đăng ký.</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Yêu cầu hoặc điều kiện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Không</w:t>
            </w:r>
          </w:p>
        </w:tc>
      </w:tr>
      <w:tr w:rsidR="00880D86" w:rsidRPr="00880D86" w:rsidTr="00880D8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t xml:space="preserve">Căn cứ </w:t>
            </w:r>
            <w:r w:rsidRPr="00880D86">
              <w:rPr>
                <w:rFonts w:eastAsia="Times New Roman" w:cs="Times New Roman"/>
                <w:sz w:val="24"/>
                <w:szCs w:val="24"/>
              </w:rPr>
              <w:lastRenderedPageBreak/>
              <w:t>pháp lý</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880D86" w:rsidRPr="00880D86" w:rsidRDefault="00880D86" w:rsidP="00880D86">
            <w:pPr>
              <w:spacing w:after="0" w:line="240" w:lineRule="auto"/>
              <w:rPr>
                <w:rFonts w:eastAsia="Times New Roman" w:cs="Times New Roman"/>
                <w:sz w:val="24"/>
                <w:szCs w:val="24"/>
              </w:rPr>
            </w:pPr>
            <w:r w:rsidRPr="00880D86">
              <w:rPr>
                <w:rFonts w:eastAsia="Times New Roman" w:cs="Times New Roman"/>
                <w:sz w:val="24"/>
                <w:szCs w:val="24"/>
              </w:rPr>
              <w:lastRenderedPageBreak/>
              <w:t>- Luật tín ngưỡng, tôn giáo (Luật số 02/2016/QH14 ngày 18/11/2016).</w:t>
            </w:r>
            <w:r w:rsidRPr="00880D86">
              <w:rPr>
                <w:rFonts w:eastAsia="Times New Roman" w:cs="Times New Roman"/>
                <w:sz w:val="24"/>
                <w:szCs w:val="24"/>
              </w:rPr>
              <w:br/>
            </w:r>
            <w:r w:rsidRPr="00880D86">
              <w:rPr>
                <w:rFonts w:eastAsia="Times New Roman" w:cs="Times New Roman"/>
                <w:sz w:val="24"/>
                <w:szCs w:val="24"/>
              </w:rPr>
              <w:lastRenderedPageBreak/>
              <w:t>- Nghị định số 162/2017/NĐ-CP ngày 30/12/2017 của Chính phủ quy định chi tiết một số điều và biện pháp thi hành Luật tín ngưỡng, tôn giáo.</w:t>
            </w:r>
            <w:r w:rsidRPr="00880D86">
              <w:rPr>
                <w:rFonts w:eastAsia="Times New Roman" w:cs="Times New Roman"/>
                <w:sz w:val="24"/>
                <w:szCs w:val="24"/>
              </w:rPr>
              <w:br/>
              <w:t>- Thông tư số 02/2017/TT-VPCP ngày 31/10/2017 của Văn phòng Chính phủ hướng dẫn về nghiệp vụ kiểm soát thủ tục hành chính.</w:t>
            </w:r>
          </w:p>
        </w:tc>
      </w:tr>
    </w:tbl>
    <w:p w:rsidR="00880D86" w:rsidRPr="00880D86" w:rsidRDefault="00880D86" w:rsidP="00880D86">
      <w:pPr>
        <w:shd w:val="clear" w:color="auto" w:fill="FFFFFF"/>
        <w:spacing w:after="0" w:line="240" w:lineRule="auto"/>
        <w:rPr>
          <w:rFonts w:ascii="Tahoma" w:eastAsia="Times New Roman" w:hAnsi="Tahoma" w:cs="Tahoma"/>
          <w:color w:val="000000"/>
          <w:sz w:val="24"/>
          <w:szCs w:val="24"/>
        </w:rPr>
      </w:pPr>
      <w:r w:rsidRPr="00880D86">
        <w:rPr>
          <w:rFonts w:ascii="Tahoma" w:eastAsia="Times New Roman" w:hAnsi="Tahoma" w:cs="Tahoma"/>
          <w:color w:val="000000"/>
          <w:sz w:val="24"/>
          <w:szCs w:val="24"/>
        </w:rPr>
        <w:lastRenderedPageBreak/>
        <w:t>* Mẫu đơn, mẫu tờ khai:</w:t>
      </w:r>
      <w:r w:rsidRPr="00880D86">
        <w:rPr>
          <w:rFonts w:ascii="Tahoma" w:eastAsia="Times New Roman" w:hAnsi="Tahoma" w:cs="Tahoma"/>
          <w:color w:val="000000"/>
          <w:sz w:val="24"/>
          <w:szCs w:val="24"/>
        </w:rPr>
        <w:br/>
        <w:t>Các tập tin, biểu mẫu khác:</w:t>
      </w:r>
      <w:r w:rsidRPr="00880D86">
        <w:rPr>
          <w:rFonts w:ascii="Tahoma" w:eastAsia="Times New Roman" w:hAnsi="Tahoma" w:cs="Tahoma"/>
          <w:color w:val="000000"/>
          <w:sz w:val="24"/>
          <w:szCs w:val="24"/>
        </w:rPr>
        <w:br/>
        <w:t>- </w:t>
      </w:r>
      <w:hyperlink r:id="rId5" w:tgtFrame="_blank" w:history="1">
        <w:r w:rsidRPr="00880D86">
          <w:rPr>
            <w:rFonts w:ascii="Tahoma" w:eastAsia="Times New Roman" w:hAnsi="Tahoma" w:cs="Tahoma"/>
            <w:color w:val="000000"/>
            <w:sz w:val="24"/>
            <w:szCs w:val="24"/>
          </w:rPr>
          <w:t>Mau-B34.doc</w:t>
        </w:r>
      </w:hyperlink>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86"/>
    <w:rsid w:val="003E268A"/>
    <w:rsid w:val="0088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0D8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0D86"/>
    <w:rPr>
      <w:rFonts w:eastAsia="Times New Roman" w:cs="Times New Roman"/>
      <w:b/>
      <w:bCs/>
      <w:sz w:val="27"/>
      <w:szCs w:val="27"/>
    </w:rPr>
  </w:style>
  <w:style w:type="character" w:styleId="Strong">
    <w:name w:val="Strong"/>
    <w:basedOn w:val="DefaultParagraphFont"/>
    <w:uiPriority w:val="22"/>
    <w:qFormat/>
    <w:rsid w:val="00880D86"/>
    <w:rPr>
      <w:b/>
      <w:bCs/>
    </w:rPr>
  </w:style>
  <w:style w:type="character" w:styleId="Emphasis">
    <w:name w:val="Emphasis"/>
    <w:basedOn w:val="DefaultParagraphFont"/>
    <w:uiPriority w:val="20"/>
    <w:qFormat/>
    <w:rsid w:val="00880D86"/>
    <w:rPr>
      <w:i/>
      <w:iCs/>
    </w:rPr>
  </w:style>
  <w:style w:type="character" w:styleId="Hyperlink">
    <w:name w:val="Hyperlink"/>
    <w:basedOn w:val="DefaultParagraphFont"/>
    <w:uiPriority w:val="99"/>
    <w:semiHidden/>
    <w:unhideWhenUsed/>
    <w:rsid w:val="00880D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0D8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0D86"/>
    <w:rPr>
      <w:rFonts w:eastAsia="Times New Roman" w:cs="Times New Roman"/>
      <w:b/>
      <w:bCs/>
      <w:sz w:val="27"/>
      <w:szCs w:val="27"/>
    </w:rPr>
  </w:style>
  <w:style w:type="character" w:styleId="Strong">
    <w:name w:val="Strong"/>
    <w:basedOn w:val="DefaultParagraphFont"/>
    <w:uiPriority w:val="22"/>
    <w:qFormat/>
    <w:rsid w:val="00880D86"/>
    <w:rPr>
      <w:b/>
      <w:bCs/>
    </w:rPr>
  </w:style>
  <w:style w:type="character" w:styleId="Emphasis">
    <w:name w:val="Emphasis"/>
    <w:basedOn w:val="DefaultParagraphFont"/>
    <w:uiPriority w:val="20"/>
    <w:qFormat/>
    <w:rsid w:val="00880D86"/>
    <w:rPr>
      <w:i/>
      <w:iCs/>
    </w:rPr>
  </w:style>
  <w:style w:type="character" w:styleId="Hyperlink">
    <w:name w:val="Hyperlink"/>
    <w:basedOn w:val="DefaultParagraphFont"/>
    <w:uiPriority w:val="99"/>
    <w:semiHidden/>
    <w:unhideWhenUsed/>
    <w:rsid w:val="00880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97547">
      <w:bodyDiv w:val="1"/>
      <w:marLeft w:val="0"/>
      <w:marRight w:val="0"/>
      <w:marTop w:val="0"/>
      <w:marBottom w:val="0"/>
      <w:divBdr>
        <w:top w:val="none" w:sz="0" w:space="0" w:color="auto"/>
        <w:left w:val="none" w:sz="0" w:space="0" w:color="auto"/>
        <w:bottom w:val="none" w:sz="0" w:space="0" w:color="auto"/>
        <w:right w:val="none" w:sz="0" w:space="0" w:color="auto"/>
      </w:divBdr>
      <w:divsChild>
        <w:div w:id="324862748">
          <w:marLeft w:val="0"/>
          <w:marRight w:val="0"/>
          <w:marTop w:val="0"/>
          <w:marBottom w:val="0"/>
          <w:divBdr>
            <w:top w:val="none" w:sz="0" w:space="0" w:color="auto"/>
            <w:left w:val="none" w:sz="0" w:space="0" w:color="auto"/>
            <w:bottom w:val="none" w:sz="0" w:space="0" w:color="auto"/>
            <w:right w:val="none" w:sz="0" w:space="0" w:color="auto"/>
          </w:divBdr>
          <w:divsChild>
            <w:div w:id="1170290442">
              <w:marLeft w:val="0"/>
              <w:marRight w:val="0"/>
              <w:marTop w:val="0"/>
              <w:marBottom w:val="0"/>
              <w:divBdr>
                <w:top w:val="none" w:sz="0" w:space="0" w:color="auto"/>
                <w:left w:val="none" w:sz="0" w:space="0" w:color="auto"/>
                <w:bottom w:val="none" w:sz="0" w:space="0" w:color="auto"/>
                <w:right w:val="none" w:sz="0" w:space="0" w:color="auto"/>
              </w:divBdr>
              <w:divsChild>
                <w:div w:id="555243278">
                  <w:marLeft w:val="0"/>
                  <w:marRight w:val="0"/>
                  <w:marTop w:val="0"/>
                  <w:marBottom w:val="0"/>
                  <w:divBdr>
                    <w:top w:val="none" w:sz="0" w:space="0" w:color="auto"/>
                    <w:left w:val="none" w:sz="0" w:space="0" w:color="auto"/>
                    <w:bottom w:val="none" w:sz="0" w:space="0" w:color="auto"/>
                    <w:right w:val="none" w:sz="0" w:space="0" w:color="auto"/>
                  </w:divBdr>
                  <w:divsChild>
                    <w:div w:id="125390347">
                      <w:marLeft w:val="0"/>
                      <w:marRight w:val="0"/>
                      <w:marTop w:val="0"/>
                      <w:marBottom w:val="0"/>
                      <w:divBdr>
                        <w:top w:val="none" w:sz="0" w:space="0" w:color="auto"/>
                        <w:left w:val="none" w:sz="0" w:space="0" w:color="auto"/>
                        <w:bottom w:val="none" w:sz="0" w:space="0" w:color="auto"/>
                        <w:right w:val="none" w:sz="0" w:space="0" w:color="auto"/>
                      </w:divBdr>
                      <w:divsChild>
                        <w:div w:id="1514765271">
                          <w:marLeft w:val="0"/>
                          <w:marRight w:val="0"/>
                          <w:marTop w:val="0"/>
                          <w:marBottom w:val="0"/>
                          <w:divBdr>
                            <w:top w:val="none" w:sz="0" w:space="0" w:color="auto"/>
                            <w:left w:val="none" w:sz="0" w:space="0" w:color="auto"/>
                            <w:bottom w:val="none" w:sz="0" w:space="0" w:color="auto"/>
                            <w:right w:val="none" w:sz="0" w:space="0" w:color="auto"/>
                          </w:divBdr>
                          <w:divsChild>
                            <w:div w:id="620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bang.gialai.gov.vn/getattachment/SpecialPages/kkk/Botthcc/botthccaphuyen/Ton-giao-To-chuc-bo-may-Thi-%C4%91ua-khen-thuong-Tuyen/%C4%90E-NGHI-TO-CHUC-CUOC-LE-NGOAI-CO-SO-TON-GIAO,-%C4%90IA/Mau-B34.doc.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2020-01-20T09:43:00Z</dcterms:created>
  <dcterms:modified xsi:type="dcterms:W3CDTF">2020-01-20T09:43:00Z</dcterms:modified>
</cp:coreProperties>
</file>