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FC" w:rsidRPr="00027BFC" w:rsidRDefault="00027BFC" w:rsidP="00027BFC">
      <w:pPr>
        <w:spacing w:after="0" w:line="240" w:lineRule="auto"/>
        <w:outlineLvl w:val="0"/>
        <w:rPr>
          <w:rFonts w:eastAsia="Times New Roman" w:cs="Times New Roman"/>
          <w:b/>
          <w:bCs/>
          <w:color w:val="19232B"/>
          <w:kern w:val="36"/>
          <w:sz w:val="26"/>
          <w:szCs w:val="26"/>
        </w:rPr>
      </w:pPr>
      <w:bookmarkStart w:id="0" w:name="_GoBack"/>
      <w:r w:rsidRPr="00027BFC">
        <w:rPr>
          <w:rFonts w:eastAsia="Times New Roman" w:cs="Times New Roman"/>
          <w:b/>
          <w:bCs/>
          <w:color w:val="19232B"/>
          <w:kern w:val="36"/>
          <w:sz w:val="26"/>
          <w:szCs w:val="26"/>
        </w:rPr>
        <w:t>Thủ tục báo cáo tổ chức đại hội nhiệm kỳ, đại hội bất thường của hội</w:t>
      </w:r>
    </w:p>
    <w:bookmarkEnd w:id="0"/>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1. TRÌNH TỰ THỰC HIỆN:</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color w:val="19232B"/>
          <w:sz w:val="26"/>
          <w:szCs w:val="26"/>
        </w:rPr>
        <w:t>Bước 1: Ban lãnh đạo hội gửi hồ sơ báo cáo về việc tổ chức đại hội nhiệm kỳ, đại hội bất thường đến Ủy ban nhân dân cấp huyện.</w:t>
      </w:r>
      <w:r w:rsidRPr="00027BFC">
        <w:rPr>
          <w:rFonts w:eastAsia="Times New Roman" w:cs="Times New Roman"/>
          <w:color w:val="19232B"/>
          <w:sz w:val="26"/>
          <w:szCs w:val="26"/>
        </w:rPr>
        <w:br/>
        <w:t>Bước 2: Cán bộ tiếp nhận hồ sơ xem xét hồ sơ và đề nghị bổ sung trong trường hợp hồ sơ chưa đầy đủ và hợp pháp.</w:t>
      </w:r>
      <w:r w:rsidRPr="00027BFC">
        <w:rPr>
          <w:rFonts w:eastAsia="Times New Roman" w:cs="Times New Roman"/>
          <w:color w:val="19232B"/>
          <w:sz w:val="26"/>
          <w:szCs w:val="26"/>
        </w:rPr>
        <w:br/>
        <w:t>- Bước 3: Kể từ ngày nhận hồ sơ đầy đủ và hợp pháp, cán bộ tiếp nhận hồ sơ nghiên cứu, thẩm định hồ sơ và thực hiện quy trình lấy ý kiến các cơ quan có liên quan, tổng hợp các ý kiến góp ý, đề nghị bổ sung hồ sơ (nếu có).</w:t>
      </w:r>
      <w:r w:rsidRPr="00027BFC">
        <w:rPr>
          <w:rFonts w:eastAsia="Times New Roman" w:cs="Times New Roman"/>
          <w:color w:val="19232B"/>
          <w:sz w:val="26"/>
          <w:szCs w:val="26"/>
        </w:rPr>
        <w:br/>
        <w:t>- Bước 4: Trong thời hạn 15 ngày kể từ ngày nhận hồ sơ báo cáo đầy đủ và hợp pháp, Ủy ban nhân dân cấp huyện có ý kiến bằng văn bản về việc tổ chức đại hội. Trường hợp cần lấy ý kiến cơ quan có liên quan đến ngành, lĩnh vực chính mà hội hoạt động thì chậm nhất không quá 25 ngày phải có ý kiến bằng văn bản về việc tổ chức đại hội.</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2. CÁCH THỨC THỰC HIỆN:</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Nộp hồ sơ trực tiếp tại bộ phận tiếp nhận và trả kết quả của UBND huyện hoặc qua hệ thống bưu chính.</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3. THÀNH PHẦN HỒ SƠ:</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color w:val="19232B"/>
          <w:sz w:val="26"/>
          <w:szCs w:val="26"/>
        </w:rPr>
        <w:t>*Hồ sơ báo cáo tổ chức đại hội nhiệm kỳ:</w:t>
      </w:r>
      <w:r w:rsidRPr="00027BFC">
        <w:rPr>
          <w:rFonts w:eastAsia="Times New Roman" w:cs="Times New Roman"/>
          <w:color w:val="19232B"/>
          <w:sz w:val="26"/>
          <w:szCs w:val="26"/>
        </w:rPr>
        <w:br/>
        <w:t>- Nghị quyết của ban lãnh đạo hội về việc tổ chức đại hội nhiệm kỳ;</w:t>
      </w:r>
      <w:r w:rsidRPr="00027BFC">
        <w:rPr>
          <w:rFonts w:eastAsia="Times New Roman" w:cs="Times New Roman"/>
          <w:color w:val="19232B"/>
          <w:sz w:val="26"/>
          <w:szCs w:val="26"/>
        </w:rPr>
        <w:br/>
        <w:t>- Dự thảo báo cáo tổng kết công tác nhiệm kỳ và phương hướng hoạt động nhiệm kỳ tới của hội. Báo cáo kiểm điểm của ban lãnh đạo, ban kiểm tra và báo cáo tài chính của hội;</w:t>
      </w:r>
      <w:r w:rsidRPr="00027BFC">
        <w:rPr>
          <w:rFonts w:eastAsia="Times New Roman" w:cs="Times New Roman"/>
          <w:color w:val="19232B"/>
          <w:sz w:val="26"/>
          <w:szCs w:val="26"/>
        </w:rPr>
        <w:br/>
        <w:t>- Dự thảo điều lệ sửa đổi, bổ sung (nếu có);</w:t>
      </w:r>
      <w:r w:rsidRPr="00027BFC">
        <w:rPr>
          <w:rFonts w:eastAsia="Times New Roman" w:cs="Times New Roman"/>
          <w:color w:val="19232B"/>
          <w:sz w:val="26"/>
          <w:szCs w:val="26"/>
        </w:rPr>
        <w:br/>
        <w:t>- Danh sách dự kiến nhân sự ban lãnh đạo, ban kiểm tra, trong đó nêu rõ tiêu chuẩn, cơ cấu, số lượng thành viên ban lãnh đạo, ban kiểm tra hội. Đối với nhân sự dự kiến là người đứng đầu hội phải có sơ yếu lý lịch, phiếu lý lịch tư pháp, văn bản đồng ý của cơ quan có thẩm quyền theo quy định về phân cấp quản lý cán bộ;</w:t>
      </w:r>
      <w:r w:rsidRPr="00027BFC">
        <w:rPr>
          <w:rFonts w:eastAsia="Times New Roman" w:cs="Times New Roman"/>
          <w:color w:val="19232B"/>
          <w:sz w:val="26"/>
          <w:szCs w:val="26"/>
        </w:rPr>
        <w:br/>
        <w:t>- Dự kiến thời gian, địa điểm tổ chức đại hội, số lượng đại biểu mời, đại biểu chính thức tham dự đại hội, dự kiến chương trình đại hội;</w:t>
      </w:r>
      <w:r w:rsidRPr="00027BFC">
        <w:rPr>
          <w:rFonts w:eastAsia="Times New Roman" w:cs="Times New Roman"/>
          <w:color w:val="19232B"/>
          <w:sz w:val="26"/>
          <w:szCs w:val="26"/>
        </w:rPr>
        <w:br/>
        <w:t>- Báo cáo số lượng hội viên, trong đó nêu rõ số hội viên chính thức của hội;</w:t>
      </w:r>
      <w:r w:rsidRPr="00027BFC">
        <w:rPr>
          <w:rFonts w:eastAsia="Times New Roman" w:cs="Times New Roman"/>
          <w:color w:val="19232B"/>
          <w:sz w:val="26"/>
          <w:szCs w:val="26"/>
        </w:rPr>
        <w:br/>
        <w:t>- Các hội dung khác thuộc thẩm quyền của đại hội theo quy định của điều lệ hội và quy định của pháp luật (nếu có).</w:t>
      </w:r>
      <w:r w:rsidRPr="00027BFC">
        <w:rPr>
          <w:rFonts w:eastAsia="Times New Roman" w:cs="Times New Roman"/>
          <w:color w:val="19232B"/>
          <w:sz w:val="26"/>
          <w:szCs w:val="26"/>
        </w:rPr>
        <w:br/>
        <w:t>* Hồ sơ báo cáo đại hội bất thường:</w:t>
      </w:r>
      <w:r w:rsidRPr="00027BFC">
        <w:rPr>
          <w:rFonts w:eastAsia="Times New Roman" w:cs="Times New Roman"/>
          <w:color w:val="19232B"/>
          <w:sz w:val="26"/>
          <w:szCs w:val="26"/>
        </w:rPr>
        <w:br/>
        <w:t>- Nghị quyết của ban lãnh đạo hội về việc tổ chức đại hội bất thường trong đó nêu rõ nội dung thảo luận và quyết định tại đại hội;</w:t>
      </w:r>
      <w:r w:rsidRPr="00027BFC">
        <w:rPr>
          <w:rFonts w:eastAsia="Times New Roman" w:cs="Times New Roman"/>
          <w:color w:val="19232B"/>
          <w:sz w:val="26"/>
          <w:szCs w:val="26"/>
        </w:rPr>
        <w:br/>
        <w:t>- Dự thảo những nội dung thảo luận và quyết định tại đại hội;</w:t>
      </w:r>
      <w:r w:rsidRPr="00027BFC">
        <w:rPr>
          <w:rFonts w:eastAsia="Times New Roman" w:cs="Times New Roman"/>
          <w:color w:val="19232B"/>
          <w:sz w:val="26"/>
          <w:szCs w:val="26"/>
        </w:rPr>
        <w:br/>
        <w:t>- Dự kiến thời gian, địa điểm tổ chức đại hội, số lượng đại biểu mời, đại biểu chính thức tham dự đại hội, dự kiến chương trình đại hội.</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4. THỜI HẠN GIẢI QUYẾT:</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25 ngày làm việc kể từ ngày Ủy ban nhân dân cấp huyện nhận hồ sơ đầy đủ và hợp pháp</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5. ĐỐI TƯỢNG THỰC HIỆN:</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Hội có phạm vi hoạt động trong xã.</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6. CƠ QUAN THỰC HIỆN:</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lastRenderedPageBreak/>
        <w:t>Ủy ban nhân dân cấp huyện (Phòng Nội vụ).</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7. KẾT QUẢ:</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Công văn cho phép hội tổ chức đại hội nhiệm kỳ, đại hội bất thường.</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8. LỆ PHÍ:</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Không có.</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9. TÊN MẪU ĐƠN, MẪU TỜ KHAI:</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Không có.</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10. YÊU CẦU, ĐIỀU KIỆN THỰC HIỆN:</w:t>
      </w:r>
    </w:p>
    <w:p w:rsidR="00027BFC" w:rsidRPr="00027BFC" w:rsidRDefault="00027BFC" w:rsidP="00027BFC">
      <w:pPr>
        <w:spacing w:after="75" w:line="240" w:lineRule="auto"/>
        <w:rPr>
          <w:rFonts w:eastAsia="Times New Roman" w:cs="Times New Roman"/>
          <w:color w:val="19232B"/>
          <w:sz w:val="26"/>
          <w:szCs w:val="26"/>
        </w:rPr>
      </w:pPr>
      <w:r w:rsidRPr="00027BFC">
        <w:rPr>
          <w:rFonts w:eastAsia="Times New Roman" w:cs="Times New Roman"/>
          <w:color w:val="19232B"/>
          <w:sz w:val="26"/>
          <w:szCs w:val="26"/>
        </w:rPr>
        <w:t>Hội tổ chức đại hội nhiệm kỳ, đại hội bất thường sau khi có ý kiến bằng văn bản của cơ quan nhà nước có thẩm quyền. Trường hợp hội tổ chức đại hội mà không báo cáo theo quy định thì cơ quan nhà nước có thẩm quyền không phê duyệt điều lệ hội đã được thông qua.</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b/>
          <w:bCs/>
          <w:color w:val="19232B"/>
          <w:sz w:val="26"/>
          <w:szCs w:val="26"/>
        </w:rPr>
        <w:t>11. CƠ SỞ PHÁP LÝ:</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color w:val="19232B"/>
          <w:sz w:val="26"/>
          <w:szCs w:val="26"/>
        </w:rPr>
        <w:t>Nghị định số 45/2010/NĐ-CP ngày 21 tháng 4 năm 2010 của Chính phủ quy định về tổ chức, hoạt động và quản lý hội;</w:t>
      </w:r>
      <w:r w:rsidRPr="00027BFC">
        <w:rPr>
          <w:rFonts w:eastAsia="Times New Roman" w:cs="Times New Roman"/>
          <w:color w:val="19232B"/>
          <w:sz w:val="26"/>
          <w:szCs w:val="26"/>
        </w:rPr>
        <w:br/>
        <w:t>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r w:rsidRPr="00027BFC">
        <w:rPr>
          <w:rFonts w:eastAsia="Times New Roman" w:cs="Times New Roman"/>
          <w:color w:val="19232B"/>
          <w:sz w:val="26"/>
          <w:szCs w:val="26"/>
        </w:rPr>
        <w:b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r w:rsidRPr="00027BFC">
        <w:rPr>
          <w:rFonts w:eastAsia="Times New Roman" w:cs="Times New Roman"/>
          <w:color w:val="19232B"/>
          <w:sz w:val="26"/>
          <w:szCs w:val="26"/>
        </w:rPr>
        <w:b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r w:rsidRPr="00027BFC">
        <w:rPr>
          <w:rFonts w:eastAsia="Times New Roman" w:cs="Times New Roman"/>
          <w:color w:val="19232B"/>
          <w:sz w:val="26"/>
          <w:szCs w:val="26"/>
        </w:rPr>
        <w:br/>
        <w:t>- Quyết định số 579/QĐ-BNV ngày 15/7/2015 của Bộ Nội vụ về việc công bố TTHC thuộc phạm vi chức năng quản lý của Bộ Nội vụ về lĩnh vực tổ chức phi chính phủ.</w:t>
      </w:r>
    </w:p>
    <w:p w:rsidR="00027BFC" w:rsidRPr="00027BFC" w:rsidRDefault="00027BFC" w:rsidP="00027BFC">
      <w:pPr>
        <w:spacing w:after="0" w:line="240" w:lineRule="auto"/>
        <w:rPr>
          <w:rFonts w:eastAsia="Times New Roman" w:cs="Times New Roman"/>
          <w:color w:val="19232B"/>
          <w:sz w:val="26"/>
          <w:szCs w:val="26"/>
        </w:rPr>
      </w:pPr>
      <w:r w:rsidRPr="00027BFC">
        <w:rPr>
          <w:rFonts w:eastAsia="Times New Roman" w:cs="Times New Roman"/>
          <w:color w:val="19232B"/>
          <w:sz w:val="26"/>
          <w:szCs w:val="26"/>
        </w:rPr>
        <w:t>Located in: </w:t>
      </w:r>
      <w:hyperlink r:id="rId5" w:history="1">
        <w:r w:rsidRPr="00027BFC">
          <w:rPr>
            <w:rFonts w:eastAsia="Times New Roman" w:cs="Times New Roman"/>
            <w:color w:val="000000"/>
            <w:sz w:val="26"/>
            <w:szCs w:val="26"/>
          </w:rPr>
          <w:t>LĨNH VỰC NỘI VỤ</w:t>
        </w:r>
      </w:hyperlink>
    </w:p>
    <w:p w:rsidR="003E268A" w:rsidRPr="00027BFC" w:rsidRDefault="003E268A">
      <w:pPr>
        <w:rPr>
          <w:rFonts w:cs="Times New Roman"/>
          <w:sz w:val="26"/>
          <w:szCs w:val="26"/>
        </w:rPr>
      </w:pPr>
    </w:p>
    <w:sectPr w:rsidR="003E268A" w:rsidRPr="0002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C"/>
    <w:rsid w:val="00027BFC"/>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B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FC"/>
    <w:rPr>
      <w:rFonts w:eastAsia="Times New Roman" w:cs="Times New Roman"/>
      <w:b/>
      <w:bCs/>
      <w:kern w:val="36"/>
      <w:sz w:val="48"/>
      <w:szCs w:val="48"/>
    </w:rPr>
  </w:style>
  <w:style w:type="character" w:styleId="Strong">
    <w:name w:val="Strong"/>
    <w:basedOn w:val="DefaultParagraphFont"/>
    <w:uiPriority w:val="22"/>
    <w:qFormat/>
    <w:rsid w:val="00027BFC"/>
    <w:rPr>
      <w:b/>
      <w:bCs/>
    </w:rPr>
  </w:style>
  <w:style w:type="paragraph" w:styleId="NormalWeb">
    <w:name w:val="Normal (Web)"/>
    <w:basedOn w:val="Normal"/>
    <w:uiPriority w:val="99"/>
    <w:semiHidden/>
    <w:unhideWhenUsed/>
    <w:rsid w:val="00027BF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27B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B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FC"/>
    <w:rPr>
      <w:rFonts w:eastAsia="Times New Roman" w:cs="Times New Roman"/>
      <w:b/>
      <w:bCs/>
      <w:kern w:val="36"/>
      <w:sz w:val="48"/>
      <w:szCs w:val="48"/>
    </w:rPr>
  </w:style>
  <w:style w:type="character" w:styleId="Strong">
    <w:name w:val="Strong"/>
    <w:basedOn w:val="DefaultParagraphFont"/>
    <w:uiPriority w:val="22"/>
    <w:qFormat/>
    <w:rsid w:val="00027BFC"/>
    <w:rPr>
      <w:b/>
      <w:bCs/>
    </w:rPr>
  </w:style>
  <w:style w:type="paragraph" w:styleId="NormalWeb">
    <w:name w:val="Normal (Web)"/>
    <w:basedOn w:val="Normal"/>
    <w:uiPriority w:val="99"/>
    <w:semiHidden/>
    <w:unhideWhenUsed/>
    <w:rsid w:val="00027BF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2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6787">
      <w:bodyDiv w:val="1"/>
      <w:marLeft w:val="0"/>
      <w:marRight w:val="0"/>
      <w:marTop w:val="0"/>
      <w:marBottom w:val="0"/>
      <w:divBdr>
        <w:top w:val="none" w:sz="0" w:space="0" w:color="auto"/>
        <w:left w:val="none" w:sz="0" w:space="0" w:color="auto"/>
        <w:bottom w:val="none" w:sz="0" w:space="0" w:color="auto"/>
        <w:right w:val="none" w:sz="0" w:space="0" w:color="auto"/>
      </w:divBdr>
      <w:divsChild>
        <w:div w:id="1128820799">
          <w:marLeft w:val="0"/>
          <w:marRight w:val="0"/>
          <w:marTop w:val="0"/>
          <w:marBottom w:val="0"/>
          <w:divBdr>
            <w:top w:val="none" w:sz="0" w:space="0" w:color="auto"/>
            <w:left w:val="none" w:sz="0" w:space="0" w:color="auto"/>
            <w:bottom w:val="none" w:sz="0" w:space="0" w:color="auto"/>
            <w:right w:val="none" w:sz="0" w:space="0" w:color="auto"/>
          </w:divBdr>
        </w:div>
        <w:div w:id="1160541942">
          <w:marLeft w:val="0"/>
          <w:marRight w:val="0"/>
          <w:marTop w:val="0"/>
          <w:marBottom w:val="0"/>
          <w:divBdr>
            <w:top w:val="none" w:sz="0" w:space="0" w:color="auto"/>
            <w:left w:val="none" w:sz="0" w:space="0" w:color="auto"/>
            <w:bottom w:val="none" w:sz="0" w:space="0" w:color="auto"/>
            <w:right w:val="none" w:sz="0" w:space="0" w:color="auto"/>
          </w:divBdr>
        </w:div>
        <w:div w:id="1494221728">
          <w:marLeft w:val="0"/>
          <w:marRight w:val="0"/>
          <w:marTop w:val="0"/>
          <w:marBottom w:val="0"/>
          <w:divBdr>
            <w:top w:val="none" w:sz="0" w:space="0" w:color="auto"/>
            <w:left w:val="none" w:sz="0" w:space="0" w:color="auto"/>
            <w:bottom w:val="none" w:sz="0" w:space="0" w:color="auto"/>
            <w:right w:val="none" w:sz="0" w:space="0" w:color="auto"/>
          </w:divBdr>
        </w:div>
        <w:div w:id="213583434">
          <w:marLeft w:val="0"/>
          <w:marRight w:val="0"/>
          <w:marTop w:val="0"/>
          <w:marBottom w:val="0"/>
          <w:divBdr>
            <w:top w:val="none" w:sz="0" w:space="0" w:color="auto"/>
            <w:left w:val="none" w:sz="0" w:space="0" w:color="auto"/>
            <w:bottom w:val="none" w:sz="0" w:space="0" w:color="auto"/>
            <w:right w:val="none" w:sz="0" w:space="0" w:color="auto"/>
          </w:divBdr>
        </w:div>
        <w:div w:id="1179277156">
          <w:marLeft w:val="0"/>
          <w:marRight w:val="0"/>
          <w:marTop w:val="0"/>
          <w:marBottom w:val="0"/>
          <w:divBdr>
            <w:top w:val="none" w:sz="0" w:space="0" w:color="auto"/>
            <w:left w:val="none" w:sz="0" w:space="0" w:color="auto"/>
            <w:bottom w:val="none" w:sz="0" w:space="0" w:color="auto"/>
            <w:right w:val="none" w:sz="0" w:space="0" w:color="auto"/>
          </w:divBdr>
        </w:div>
        <w:div w:id="782187244">
          <w:marLeft w:val="0"/>
          <w:marRight w:val="0"/>
          <w:marTop w:val="0"/>
          <w:marBottom w:val="0"/>
          <w:divBdr>
            <w:top w:val="none" w:sz="0" w:space="0" w:color="auto"/>
            <w:left w:val="none" w:sz="0" w:space="0" w:color="auto"/>
            <w:bottom w:val="none" w:sz="0" w:space="0" w:color="auto"/>
            <w:right w:val="none" w:sz="0" w:space="0" w:color="auto"/>
          </w:divBdr>
        </w:div>
        <w:div w:id="438792260">
          <w:marLeft w:val="0"/>
          <w:marRight w:val="0"/>
          <w:marTop w:val="0"/>
          <w:marBottom w:val="0"/>
          <w:divBdr>
            <w:top w:val="none" w:sz="0" w:space="0" w:color="auto"/>
            <w:left w:val="none" w:sz="0" w:space="0" w:color="auto"/>
            <w:bottom w:val="none" w:sz="0" w:space="0" w:color="auto"/>
            <w:right w:val="none" w:sz="0" w:space="0" w:color="auto"/>
          </w:divBdr>
        </w:div>
        <w:div w:id="41561719">
          <w:marLeft w:val="0"/>
          <w:marRight w:val="0"/>
          <w:marTop w:val="0"/>
          <w:marBottom w:val="0"/>
          <w:divBdr>
            <w:top w:val="none" w:sz="0" w:space="0" w:color="auto"/>
            <w:left w:val="none" w:sz="0" w:space="0" w:color="auto"/>
            <w:bottom w:val="none" w:sz="0" w:space="0" w:color="auto"/>
            <w:right w:val="none" w:sz="0" w:space="0" w:color="auto"/>
          </w:divBdr>
        </w:div>
        <w:div w:id="822937539">
          <w:marLeft w:val="0"/>
          <w:marRight w:val="0"/>
          <w:marTop w:val="0"/>
          <w:marBottom w:val="0"/>
          <w:divBdr>
            <w:top w:val="none" w:sz="0" w:space="0" w:color="auto"/>
            <w:left w:val="none" w:sz="0" w:space="0" w:color="auto"/>
            <w:bottom w:val="none" w:sz="0" w:space="0" w:color="auto"/>
            <w:right w:val="none" w:sz="0" w:space="0" w:color="auto"/>
          </w:divBdr>
        </w:div>
        <w:div w:id="1421175608">
          <w:marLeft w:val="0"/>
          <w:marRight w:val="0"/>
          <w:marTop w:val="0"/>
          <w:marBottom w:val="0"/>
          <w:divBdr>
            <w:top w:val="none" w:sz="0" w:space="0" w:color="auto"/>
            <w:left w:val="none" w:sz="0" w:space="0" w:color="auto"/>
            <w:bottom w:val="none" w:sz="0" w:space="0" w:color="auto"/>
            <w:right w:val="none" w:sz="0" w:space="0" w:color="auto"/>
          </w:divBdr>
        </w:div>
        <w:div w:id="2088383768">
          <w:marLeft w:val="0"/>
          <w:marRight w:val="0"/>
          <w:marTop w:val="0"/>
          <w:marBottom w:val="0"/>
          <w:divBdr>
            <w:top w:val="none" w:sz="0" w:space="0" w:color="auto"/>
            <w:left w:val="none" w:sz="0" w:space="0" w:color="auto"/>
            <w:bottom w:val="none" w:sz="0" w:space="0" w:color="auto"/>
            <w:right w:val="none" w:sz="0" w:space="0" w:color="auto"/>
          </w:divBdr>
        </w:div>
        <w:div w:id="185368587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bndtp.hoabinh.gov.vn/thutuchanhchinh?sid=190:L%C4%A8NH-V%E1%BB%B0C-N%E1%BB%98I-V%E1%BB%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2020-01-20T09:13:00Z</dcterms:created>
  <dcterms:modified xsi:type="dcterms:W3CDTF">2020-01-20T09:15:00Z</dcterms:modified>
</cp:coreProperties>
</file>