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shd w:val="clear" w:color="auto" w:fill="FFFFFF"/>
        <w:tblCellMar>
          <w:top w:w="15" w:type="dxa"/>
          <w:left w:w="15" w:type="dxa"/>
          <w:bottom w:w="15" w:type="dxa"/>
          <w:right w:w="15" w:type="dxa"/>
        </w:tblCellMar>
        <w:tblLook w:val="04A0" w:firstRow="1" w:lastRow="0" w:firstColumn="1" w:lastColumn="0" w:noHBand="0" w:noVBand="1"/>
      </w:tblPr>
      <w:tblGrid>
        <w:gridCol w:w="2865"/>
        <w:gridCol w:w="6705"/>
      </w:tblGrid>
      <w:tr w:rsidR="00996A8B" w:rsidRPr="00996A8B" w:rsidTr="00996A8B">
        <w:tc>
          <w:tcPr>
            <w:tcW w:w="2865" w:type="dxa"/>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r w:rsidRPr="00996A8B">
              <w:rPr>
                <w:rFonts w:ascii="Arial" w:eastAsia="Times New Roman" w:hAnsi="Arial" w:cs="Arial"/>
                <w:color w:val="333333"/>
                <w:sz w:val="18"/>
                <w:szCs w:val="18"/>
              </w:rPr>
              <w:t>Tiêu đề</w:t>
            </w:r>
          </w:p>
        </w:tc>
        <w:tc>
          <w:tcPr>
            <w:tcW w:w="0" w:type="auto"/>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bookmarkStart w:id="0" w:name="_GoBack"/>
            <w:r w:rsidRPr="00996A8B">
              <w:rPr>
                <w:rFonts w:ascii="Arial" w:eastAsia="Times New Roman" w:hAnsi="Arial" w:cs="Arial"/>
                <w:color w:val="333333"/>
                <w:sz w:val="18"/>
                <w:szCs w:val="18"/>
              </w:rPr>
              <w:t>Thủ tục giải thể đơn vị sự nghiệp công lập</w:t>
            </w:r>
            <w:bookmarkEnd w:id="0"/>
          </w:p>
        </w:tc>
      </w:tr>
      <w:tr w:rsidR="00996A8B" w:rsidRPr="00996A8B" w:rsidTr="00996A8B">
        <w:tc>
          <w:tcPr>
            <w:tcW w:w="2865" w:type="dxa"/>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r w:rsidRPr="00996A8B">
              <w:rPr>
                <w:rFonts w:ascii="Arial" w:eastAsia="Times New Roman" w:hAnsi="Arial" w:cs="Arial"/>
                <w:color w:val="333333"/>
                <w:sz w:val="18"/>
                <w:szCs w:val="18"/>
              </w:rPr>
              <w:t>Cơ quan</w:t>
            </w:r>
          </w:p>
        </w:tc>
        <w:tc>
          <w:tcPr>
            <w:tcW w:w="0" w:type="auto"/>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p>
        </w:tc>
      </w:tr>
      <w:tr w:rsidR="00996A8B" w:rsidRPr="00996A8B" w:rsidTr="00996A8B">
        <w:tc>
          <w:tcPr>
            <w:tcW w:w="2865" w:type="dxa"/>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r w:rsidRPr="00996A8B">
              <w:rPr>
                <w:rFonts w:ascii="Arial" w:eastAsia="Times New Roman" w:hAnsi="Arial" w:cs="Arial"/>
                <w:color w:val="333333"/>
                <w:sz w:val="18"/>
                <w:szCs w:val="18"/>
              </w:rPr>
              <w:t>Lĩnh vực văn bản</w:t>
            </w:r>
          </w:p>
        </w:tc>
        <w:tc>
          <w:tcPr>
            <w:tcW w:w="0" w:type="auto"/>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r w:rsidRPr="00996A8B">
              <w:rPr>
                <w:rFonts w:ascii="Arial" w:eastAsia="Times New Roman" w:hAnsi="Arial" w:cs="Arial"/>
                <w:color w:val="333333"/>
                <w:sz w:val="18"/>
                <w:szCs w:val="18"/>
              </w:rPr>
              <w:t>Nội vụ</w:t>
            </w:r>
          </w:p>
        </w:tc>
      </w:tr>
      <w:tr w:rsidR="00996A8B" w:rsidRPr="00996A8B" w:rsidTr="00996A8B">
        <w:tc>
          <w:tcPr>
            <w:tcW w:w="2865" w:type="dxa"/>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r w:rsidRPr="00996A8B">
              <w:rPr>
                <w:rFonts w:ascii="Arial" w:eastAsia="Times New Roman" w:hAnsi="Arial" w:cs="Arial"/>
                <w:color w:val="333333"/>
                <w:sz w:val="18"/>
                <w:szCs w:val="18"/>
              </w:rPr>
              <w:t>Nội dung</w:t>
            </w:r>
          </w:p>
        </w:tc>
        <w:tc>
          <w:tcPr>
            <w:tcW w:w="0" w:type="auto"/>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rPr>
              <w:t>* Trình tự thực hiện</w:t>
            </w:r>
            <w:r w:rsidRPr="00996A8B">
              <w:rPr>
                <w:rFonts w:eastAsia="Times New Roman" w:cs="Times New Roman"/>
                <w:color w:val="333333"/>
                <w:sz w:val="24"/>
                <w:szCs w:val="24"/>
              </w:rPr>
              <w:t>:</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pacing w:val="-2"/>
                <w:sz w:val="24"/>
                <w:szCs w:val="24"/>
              </w:rPr>
              <w:t>- Bước 1: </w:t>
            </w:r>
            <w:r w:rsidRPr="00996A8B">
              <w:rPr>
                <w:rFonts w:eastAsia="Times New Roman" w:cs="Times New Roman"/>
                <w:color w:val="333333"/>
                <w:sz w:val="24"/>
                <w:szCs w:val="24"/>
                <w:lang w:val="pt-BR"/>
              </w:rPr>
              <w:t xml:space="preserve">Cơ quan, tổ chức đề nghị giải thể đơn vị sự nghiệp công lập nộp hồ sơ giải thể  đơn vị sự nghiệp công lập đến công chức đại diện của Phòng Nội vụ tại </w:t>
            </w:r>
            <w:r>
              <w:rPr>
                <w:rFonts w:eastAsia="Times New Roman" w:cs="Times New Roman"/>
                <w:color w:val="333333"/>
                <w:sz w:val="24"/>
                <w:szCs w:val="24"/>
                <w:lang w:val="pt-BR"/>
              </w:rPr>
              <w:t>Bộ phận một cửa</w:t>
            </w:r>
            <w:r w:rsidRPr="00996A8B">
              <w:rPr>
                <w:rFonts w:eastAsia="Times New Roman" w:cs="Times New Roman"/>
                <w:color w:val="333333"/>
                <w:sz w:val="24"/>
                <w:szCs w:val="24"/>
                <w:lang w:val="pt-BR"/>
              </w:rPr>
              <w:t xml:space="preserve"> cấp huyện.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Bước 2: Công chức Phòng Nội vụ làm việc tại Trung tâm Hành chính công cấp huyện tiếp nhận, kiểm tra hồ sơ:</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Nếu hồ sơ đầy đủ và hợp pháp thì viết biên nhận, hẹn ngày trả kết quả.</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Nếu hồ sơ chưa đầy đủ, hợp pháp theo quy định thì hướng dẫn và đề nghị bổ sung.</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Bước 3:</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 </w:t>
            </w:r>
            <w:r w:rsidRPr="00996A8B">
              <w:rPr>
                <w:rFonts w:eastAsia="Times New Roman" w:cs="Times New Roman"/>
                <w:color w:val="333333"/>
                <w:sz w:val="24"/>
                <w:szCs w:val="24"/>
                <w:lang w:val="pt-BR"/>
              </w:rPr>
              <w:t> Phòng Nội vụ thẩm định hồ sơ, lấy ý kiến của các cơ quan có liên quan và đề nghị bổ sung hồ sơ (nếu có), trình UBND cấp huyện;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UBND cấp huyện ban hành quyết định giải thể hoặc văn bản không chấp thuận việc giải thể (nêu rõ lý do nếu không chấp thuận).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Bước 4: UBND cấp huyện chuyển kết quả về Phòng Nội vụ (qua Trung tâm hành chính công cấp huyện) để trả cho tổ chức, cá nhân.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rPr>
              <w:t>* Cách thức thực hiện: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pacing w:val="-2"/>
                <w:sz w:val="24"/>
                <w:szCs w:val="24"/>
                <w:lang w:val="pt-BR"/>
              </w:rPr>
              <w:t>Nộp hồ sơ trực tiếp tại Trung tâm Hành chính công cấp huyện (Công chức phòng Nội vụ làm việc tại TTHCC cấp huyện) hoặc qua đường bưu điện đến Trung tâm Hành chính công cấp huyện (</w:t>
            </w:r>
            <w:r w:rsidRPr="00996A8B">
              <w:rPr>
                <w:rFonts w:eastAsia="Times New Roman" w:cs="Times New Roman"/>
                <w:color w:val="333333"/>
                <w:spacing w:val="-2"/>
                <w:sz w:val="24"/>
                <w:szCs w:val="24"/>
              </w:rPr>
              <w:t>thời gian được tính từ ngày đến theo dấu bưu điện).</w:t>
            </w:r>
          </w:p>
          <w:p w:rsidR="00996A8B" w:rsidRPr="00996A8B" w:rsidRDefault="00996A8B" w:rsidP="00996A8B">
            <w:pPr>
              <w:spacing w:before="60" w:after="60" w:line="240" w:lineRule="auto"/>
              <w:ind w:left="131" w:firstLine="720"/>
              <w:rPr>
                <w:rFonts w:eastAsia="Times New Roman" w:cs="Times New Roman"/>
                <w:color w:val="333333"/>
                <w:sz w:val="24"/>
                <w:szCs w:val="24"/>
              </w:rPr>
            </w:pPr>
            <w:r w:rsidRPr="00996A8B">
              <w:rPr>
                <w:rFonts w:eastAsia="Times New Roman" w:cs="Times New Roman"/>
                <w:b/>
                <w:bCs/>
                <w:color w:val="333333"/>
                <w:sz w:val="24"/>
                <w:szCs w:val="24"/>
              </w:rPr>
              <w:t>* Thành phần</w:t>
            </w:r>
            <w:r w:rsidRPr="00996A8B">
              <w:rPr>
                <w:rFonts w:eastAsia="Times New Roman" w:cs="Times New Roman"/>
                <w:b/>
                <w:bCs/>
                <w:color w:val="333333"/>
                <w:sz w:val="24"/>
                <w:szCs w:val="24"/>
                <w:lang w:val="pt-BR"/>
              </w:rPr>
              <w:t>, số lượng</w:t>
            </w:r>
            <w:r w:rsidRPr="00996A8B">
              <w:rPr>
                <w:rFonts w:eastAsia="Times New Roman" w:cs="Times New Roman"/>
                <w:b/>
                <w:bCs/>
                <w:color w:val="333333"/>
                <w:sz w:val="24"/>
                <w:szCs w:val="24"/>
              </w:rPr>
              <w:t> hồ sơ:</w:t>
            </w:r>
          </w:p>
          <w:p w:rsidR="00996A8B" w:rsidRPr="00996A8B" w:rsidRDefault="00996A8B" w:rsidP="00996A8B">
            <w:pPr>
              <w:spacing w:before="60" w:after="60" w:line="240" w:lineRule="auto"/>
              <w:ind w:left="131" w:firstLine="720"/>
              <w:rPr>
                <w:rFonts w:eastAsia="Times New Roman" w:cs="Times New Roman"/>
                <w:color w:val="333333"/>
                <w:sz w:val="24"/>
                <w:szCs w:val="24"/>
              </w:rPr>
            </w:pPr>
            <w:r w:rsidRPr="00996A8B">
              <w:rPr>
                <w:rFonts w:eastAsia="Times New Roman" w:cs="Times New Roman"/>
                <w:color w:val="333333"/>
                <w:sz w:val="24"/>
                <w:szCs w:val="24"/>
                <w:lang w:val="pt-BR"/>
              </w:rPr>
              <w:t>a. Thành phần hồ sơ</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 Đề án giải thể đơn vị sự nghiệp công lập;</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 Tờ trình đề án giải thể đơn vị sự nghiệp công lập và dự thảo quyết định giải thể đơn vị sự nghiệp công lập;</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 Các văn bản của cơ quan có thẩm quyền xác nhận việc hoàn thành nghĩa vụ về tài chính, tài sản, đất đai, các khoản vay, nợ phải trả và các vấn đề khác có liên quan (nếu có)</w:t>
            </w:r>
          </w:p>
          <w:p w:rsidR="00996A8B" w:rsidRPr="00996A8B" w:rsidRDefault="00996A8B" w:rsidP="00996A8B">
            <w:pPr>
              <w:spacing w:before="60" w:after="60" w:line="240" w:lineRule="auto"/>
              <w:ind w:left="131" w:firstLine="720"/>
              <w:rPr>
                <w:rFonts w:eastAsia="Times New Roman" w:cs="Times New Roman"/>
                <w:color w:val="333333"/>
                <w:sz w:val="24"/>
                <w:szCs w:val="24"/>
              </w:rPr>
            </w:pPr>
            <w:r w:rsidRPr="00996A8B">
              <w:rPr>
                <w:rFonts w:eastAsia="Times New Roman" w:cs="Times New Roman"/>
                <w:color w:val="333333"/>
                <w:sz w:val="24"/>
                <w:szCs w:val="24"/>
                <w:lang w:val="pt-BR"/>
              </w:rPr>
              <w:t>b.</w:t>
            </w:r>
            <w:r w:rsidRPr="00996A8B">
              <w:rPr>
                <w:rFonts w:eastAsia="Times New Roman" w:cs="Times New Roman"/>
                <w:color w:val="333333"/>
                <w:sz w:val="24"/>
                <w:szCs w:val="24"/>
              </w:rPr>
              <w:t> Số lượng hồ sơ:</w:t>
            </w:r>
            <w:r w:rsidRPr="00996A8B">
              <w:rPr>
                <w:rFonts w:eastAsia="Times New Roman" w:cs="Times New Roman"/>
                <w:color w:val="333333"/>
                <w:spacing w:val="-2"/>
                <w:sz w:val="24"/>
                <w:szCs w:val="24"/>
              </w:rPr>
              <w:t> </w:t>
            </w:r>
            <w:r w:rsidRPr="00996A8B">
              <w:rPr>
                <w:rFonts w:eastAsia="Times New Roman" w:cs="Times New Roman"/>
                <w:color w:val="333333"/>
                <w:sz w:val="24"/>
                <w:szCs w:val="24"/>
                <w:lang w:val="pt-BR"/>
              </w:rPr>
              <w:t>01 bộ</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rPr>
              <w:t>* Thời hạn giải quyết</w:t>
            </w:r>
            <w:r w:rsidRPr="00996A8B">
              <w:rPr>
                <w:rFonts w:eastAsia="Times New Roman" w:cs="Times New Roman"/>
                <w:color w:val="333333"/>
                <w:sz w:val="24"/>
                <w:szCs w:val="24"/>
              </w:rPr>
              <w:t>:</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pacing w:val="-4"/>
                <w:sz w:val="24"/>
                <w:szCs w:val="24"/>
              </w:rPr>
              <w:lastRenderedPageBreak/>
              <w:t>1. </w:t>
            </w:r>
            <w:r w:rsidRPr="00996A8B">
              <w:rPr>
                <w:rFonts w:eastAsia="Times New Roman" w:cs="Times New Roman"/>
                <w:color w:val="333333"/>
                <w:spacing w:val="-4"/>
                <w:sz w:val="24"/>
                <w:szCs w:val="24"/>
                <w:lang w:val="vi-VN"/>
              </w:rPr>
              <w:t>Trong thời hạn 15 (mười l</w:t>
            </w:r>
            <w:r w:rsidRPr="00996A8B">
              <w:rPr>
                <w:rFonts w:eastAsia="Times New Roman" w:cs="Times New Roman"/>
                <w:color w:val="333333"/>
                <w:spacing w:val="-4"/>
                <w:sz w:val="24"/>
                <w:szCs w:val="24"/>
              </w:rPr>
              <w:t>ă</w:t>
            </w:r>
            <w:r w:rsidRPr="00996A8B">
              <w:rPr>
                <w:rFonts w:eastAsia="Times New Roman" w:cs="Times New Roman"/>
                <w:color w:val="333333"/>
                <w:spacing w:val="-4"/>
                <w:sz w:val="24"/>
                <w:szCs w:val="24"/>
                <w:lang w:val="vi-VN"/>
              </w:rPr>
              <w:t>m) ngày làm việc, </w:t>
            </w:r>
            <w:r w:rsidRPr="00996A8B">
              <w:rPr>
                <w:rFonts w:eastAsia="Times New Roman" w:cs="Times New Roman"/>
                <w:color w:val="333333"/>
                <w:spacing w:val="-4"/>
                <w:sz w:val="24"/>
                <w:szCs w:val="24"/>
              </w:rPr>
              <w:t>kể từ ngày công chức đại diện của Phòng  Nội vụ tại Trung tâm Hành chính công cấp huyện nhận hồ sơ đầy đủ và hợp pháp, Phòng Nội vụ có văn bản thẩm định, trình UBND cấp huyện</w:t>
            </w:r>
            <w:r w:rsidRPr="00996A8B">
              <w:rPr>
                <w:rFonts w:eastAsia="Times New Roman" w:cs="Times New Roman"/>
                <w:color w:val="333333"/>
                <w:spacing w:val="-4"/>
                <w:sz w:val="24"/>
                <w:szCs w:val="24"/>
                <w:lang w:val="vi-VN"/>
              </w:rPr>
              <w:t>.</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2. </w:t>
            </w:r>
            <w:r w:rsidRPr="00996A8B">
              <w:rPr>
                <w:rFonts w:eastAsia="Times New Roman" w:cs="Times New Roman"/>
                <w:color w:val="333333"/>
                <w:sz w:val="24"/>
                <w:szCs w:val="24"/>
                <w:lang w:val="vi-VN"/>
              </w:rPr>
              <w:t>Trong thời hạn 25 (hai</w:t>
            </w:r>
            <w:r w:rsidRPr="00996A8B">
              <w:rPr>
                <w:rFonts w:eastAsia="Times New Roman" w:cs="Times New Roman"/>
                <w:color w:val="333333"/>
                <w:sz w:val="24"/>
                <w:szCs w:val="24"/>
              </w:rPr>
              <w:t> mươi</w:t>
            </w:r>
            <w:r w:rsidRPr="00996A8B">
              <w:rPr>
                <w:rFonts w:eastAsia="Times New Roman" w:cs="Times New Roman"/>
                <w:color w:val="333333"/>
                <w:sz w:val="24"/>
                <w:szCs w:val="24"/>
                <w:lang w:val="vi-VN"/>
              </w:rPr>
              <w:t> lăm) ngày làm việc, k</w:t>
            </w:r>
            <w:r w:rsidRPr="00996A8B">
              <w:rPr>
                <w:rFonts w:eastAsia="Times New Roman" w:cs="Times New Roman"/>
                <w:color w:val="333333"/>
                <w:sz w:val="24"/>
                <w:szCs w:val="24"/>
              </w:rPr>
              <w:t>ể </w:t>
            </w:r>
            <w:r w:rsidRPr="00996A8B">
              <w:rPr>
                <w:rFonts w:eastAsia="Times New Roman" w:cs="Times New Roman"/>
                <w:color w:val="333333"/>
                <w:sz w:val="24"/>
                <w:szCs w:val="24"/>
                <w:lang w:val="vi-VN"/>
              </w:rPr>
              <w:t>từ ngày </w:t>
            </w:r>
            <w:r w:rsidRPr="00996A8B">
              <w:rPr>
                <w:rFonts w:eastAsia="Times New Roman" w:cs="Times New Roman"/>
                <w:color w:val="333333"/>
                <w:sz w:val="24"/>
                <w:szCs w:val="24"/>
              </w:rPr>
              <w:t>Phòng Nội vụ có văn bản </w:t>
            </w:r>
            <w:r w:rsidRPr="00996A8B">
              <w:rPr>
                <w:rFonts w:eastAsia="Times New Roman" w:cs="Times New Roman"/>
                <w:color w:val="333333"/>
                <w:sz w:val="24"/>
                <w:szCs w:val="24"/>
                <w:lang w:val="vi-VN"/>
              </w:rPr>
              <w:t>thẩm định, </w:t>
            </w:r>
            <w:r w:rsidRPr="00996A8B">
              <w:rPr>
                <w:rFonts w:eastAsia="Times New Roman" w:cs="Times New Roman"/>
                <w:color w:val="333333"/>
                <w:sz w:val="24"/>
                <w:szCs w:val="24"/>
              </w:rPr>
              <w:t>UBND cấp huyện </w:t>
            </w:r>
            <w:r w:rsidRPr="00996A8B">
              <w:rPr>
                <w:rFonts w:eastAsia="Times New Roman" w:cs="Times New Roman"/>
                <w:color w:val="333333"/>
                <w:sz w:val="24"/>
                <w:szCs w:val="24"/>
                <w:lang w:val="vi-VN"/>
              </w:rPr>
              <w:t>quyết định ra quyết định </w:t>
            </w:r>
            <w:r w:rsidRPr="00996A8B">
              <w:rPr>
                <w:rFonts w:eastAsia="Times New Roman" w:cs="Times New Roman"/>
                <w:color w:val="333333"/>
                <w:sz w:val="24"/>
                <w:szCs w:val="24"/>
              </w:rPr>
              <w:t>giải thể</w:t>
            </w:r>
            <w:r w:rsidRPr="00996A8B">
              <w:rPr>
                <w:rFonts w:eastAsia="Times New Roman" w:cs="Times New Roman"/>
                <w:color w:val="333333"/>
                <w:sz w:val="24"/>
                <w:szCs w:val="24"/>
                <w:lang w:val="vi-VN"/>
              </w:rPr>
              <w:t>. Trường hợp </w:t>
            </w:r>
            <w:r w:rsidRPr="00996A8B">
              <w:rPr>
                <w:rFonts w:eastAsia="Times New Roman" w:cs="Times New Roman"/>
                <w:color w:val="333333"/>
                <w:sz w:val="24"/>
                <w:szCs w:val="24"/>
              </w:rPr>
              <w:t>UBND cấp huyện</w:t>
            </w:r>
            <w:r w:rsidRPr="00996A8B">
              <w:rPr>
                <w:rFonts w:eastAsia="Times New Roman" w:cs="Times New Roman"/>
                <w:color w:val="333333"/>
                <w:sz w:val="24"/>
                <w:szCs w:val="24"/>
                <w:lang w:val="vi-VN"/>
              </w:rPr>
              <w:t> không đồng ý việc </w:t>
            </w:r>
            <w:r w:rsidRPr="00996A8B">
              <w:rPr>
                <w:rFonts w:eastAsia="Times New Roman" w:cs="Times New Roman"/>
                <w:color w:val="333333"/>
                <w:sz w:val="24"/>
                <w:szCs w:val="24"/>
              </w:rPr>
              <w:t>giải thể </w:t>
            </w:r>
            <w:r w:rsidRPr="00996A8B">
              <w:rPr>
                <w:rFonts w:eastAsia="Times New Roman" w:cs="Times New Roman"/>
                <w:color w:val="333333"/>
                <w:sz w:val="24"/>
                <w:szCs w:val="24"/>
                <w:lang w:val="vi-VN"/>
              </w:rPr>
              <w:t>đơn vị sự nghiệp công lập thì thông báo bằng văn b</w:t>
            </w:r>
            <w:r w:rsidRPr="00996A8B">
              <w:rPr>
                <w:rFonts w:eastAsia="Times New Roman" w:cs="Times New Roman"/>
                <w:color w:val="333333"/>
                <w:sz w:val="24"/>
                <w:szCs w:val="24"/>
              </w:rPr>
              <w:t>ả</w:t>
            </w:r>
            <w:r w:rsidRPr="00996A8B">
              <w:rPr>
                <w:rFonts w:eastAsia="Times New Roman" w:cs="Times New Roman"/>
                <w:color w:val="333333"/>
                <w:sz w:val="24"/>
                <w:szCs w:val="24"/>
                <w:lang w:val="vi-VN"/>
              </w:rPr>
              <w:t>n cho </w:t>
            </w:r>
            <w:r w:rsidRPr="00996A8B">
              <w:rPr>
                <w:rFonts w:eastAsia="Times New Roman" w:cs="Times New Roman"/>
                <w:color w:val="333333"/>
                <w:sz w:val="24"/>
                <w:szCs w:val="24"/>
              </w:rPr>
              <w:t>Phòng Nội vụ gửi cơ quan, tổ chức trình đề nghị giải thể</w:t>
            </w:r>
            <w:r w:rsidRPr="00996A8B">
              <w:rPr>
                <w:rFonts w:eastAsia="Times New Roman" w:cs="Times New Roman"/>
                <w:color w:val="333333"/>
                <w:sz w:val="24"/>
                <w:szCs w:val="24"/>
                <w:lang w:val="vi-VN"/>
              </w:rPr>
              <w:t> biết r</w:t>
            </w:r>
            <w:r w:rsidRPr="00996A8B">
              <w:rPr>
                <w:rFonts w:eastAsia="Times New Roman" w:cs="Times New Roman"/>
                <w:color w:val="333333"/>
                <w:sz w:val="24"/>
                <w:szCs w:val="24"/>
              </w:rPr>
              <w:t>õ</w:t>
            </w:r>
            <w:r w:rsidRPr="00996A8B">
              <w:rPr>
                <w:rFonts w:eastAsia="Times New Roman" w:cs="Times New Roman"/>
                <w:color w:val="333333"/>
                <w:sz w:val="24"/>
                <w:szCs w:val="24"/>
                <w:lang w:val="vi-VN"/>
              </w:rPr>
              <w:t> lý do.</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lang w:val="pt-BR"/>
              </w:rPr>
              <w:t>*</w:t>
            </w:r>
            <w:r w:rsidRPr="00996A8B">
              <w:rPr>
                <w:rFonts w:eastAsia="Times New Roman" w:cs="Times New Roman"/>
                <w:b/>
                <w:bCs/>
                <w:color w:val="333333"/>
                <w:sz w:val="24"/>
                <w:szCs w:val="24"/>
              </w:rPr>
              <w:t> Đối tượng thực hiện thủ tục hành chính: </w:t>
            </w:r>
            <w:r w:rsidRPr="00996A8B">
              <w:rPr>
                <w:rFonts w:eastAsia="Times New Roman" w:cs="Times New Roman"/>
                <w:color w:val="333333"/>
                <w:spacing w:val="-6"/>
                <w:sz w:val="24"/>
                <w:szCs w:val="24"/>
                <w:lang w:val="pt-BR"/>
              </w:rPr>
              <w:t>Tổ chức</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lang w:val="pt-BR"/>
              </w:rPr>
              <w:t>*</w:t>
            </w:r>
            <w:r w:rsidRPr="00996A8B">
              <w:rPr>
                <w:rFonts w:eastAsia="Times New Roman" w:cs="Times New Roman"/>
                <w:b/>
                <w:bCs/>
                <w:color w:val="333333"/>
                <w:sz w:val="24"/>
                <w:szCs w:val="24"/>
              </w:rPr>
              <w:t> Cơ quan thực hiện thủ tục hành chính:</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Cơ quan có thẩm quyền quyết định: Ủy ban nhân dân cấp huyện;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lang w:val="pt-BR"/>
              </w:rPr>
              <w:t>- Cơ quan thực hiện thủ tục hành chính: Phòng Nội vụ.</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lang w:val="pt-BR"/>
              </w:rPr>
              <w:t>*</w:t>
            </w:r>
            <w:r w:rsidRPr="00996A8B">
              <w:rPr>
                <w:rFonts w:eastAsia="Times New Roman" w:cs="Times New Roman"/>
                <w:b/>
                <w:bCs/>
                <w:color w:val="333333"/>
                <w:sz w:val="24"/>
                <w:szCs w:val="24"/>
              </w:rPr>
              <w:t> Kết quả thực hiện thủ tục hành chính: </w:t>
            </w:r>
            <w:r w:rsidRPr="00996A8B">
              <w:rPr>
                <w:rFonts w:eastAsia="Times New Roman" w:cs="Times New Roman"/>
                <w:color w:val="333333"/>
                <w:sz w:val="24"/>
                <w:szCs w:val="24"/>
                <w:lang w:val="pt-BR"/>
              </w:rPr>
              <w:t>Quyết định</w:t>
            </w:r>
            <w:r w:rsidRPr="00996A8B">
              <w:rPr>
                <w:rFonts w:eastAsia="Times New Roman" w:cs="Times New Roman"/>
                <w:color w:val="333333"/>
                <w:sz w:val="24"/>
                <w:szCs w:val="24"/>
              </w:rPr>
              <w:t> giải thể hoặc văn bản không đồng ý của UBND cấp huyện.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lang w:val="pt-BR"/>
              </w:rPr>
              <w:t>*</w:t>
            </w:r>
            <w:r w:rsidRPr="00996A8B">
              <w:rPr>
                <w:rFonts w:eastAsia="Times New Roman" w:cs="Times New Roman"/>
                <w:b/>
                <w:bCs/>
                <w:color w:val="333333"/>
                <w:sz w:val="24"/>
                <w:szCs w:val="24"/>
              </w:rPr>
              <w:t> Lệ phí</w:t>
            </w:r>
            <w:r w:rsidRPr="00996A8B">
              <w:rPr>
                <w:rFonts w:eastAsia="Times New Roman" w:cs="Times New Roman"/>
                <w:color w:val="333333"/>
                <w:sz w:val="24"/>
                <w:szCs w:val="24"/>
                <w:lang w:val="pt-BR"/>
              </w:rPr>
              <w:t>: Không</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lang w:val="pt-BR"/>
              </w:rPr>
              <w:t>* </w:t>
            </w:r>
            <w:r w:rsidRPr="00996A8B">
              <w:rPr>
                <w:rFonts w:eastAsia="Times New Roman" w:cs="Times New Roman"/>
                <w:b/>
                <w:bCs/>
                <w:color w:val="333333"/>
                <w:sz w:val="24"/>
                <w:szCs w:val="24"/>
              </w:rPr>
              <w:t>Tên mẫu đơn, mẫu tờ khai:</w:t>
            </w:r>
            <w:r w:rsidRPr="00996A8B">
              <w:rPr>
                <w:rFonts w:eastAsia="Times New Roman" w:cs="Times New Roman"/>
                <w:color w:val="333333"/>
                <w:sz w:val="24"/>
                <w:szCs w:val="24"/>
              </w:rPr>
              <w:t> </w:t>
            </w:r>
            <w:r w:rsidRPr="00996A8B">
              <w:rPr>
                <w:rFonts w:eastAsia="Times New Roman" w:cs="Times New Roman"/>
                <w:color w:val="333333"/>
                <w:sz w:val="24"/>
                <w:szCs w:val="24"/>
                <w:lang w:val="pt-BR"/>
              </w:rPr>
              <w:t>Không</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lang w:val="pt-BR"/>
              </w:rPr>
              <w:t>*</w:t>
            </w:r>
            <w:r w:rsidRPr="00996A8B">
              <w:rPr>
                <w:rFonts w:eastAsia="Times New Roman" w:cs="Times New Roman"/>
                <w:b/>
                <w:bCs/>
                <w:color w:val="333333"/>
                <w:sz w:val="24"/>
                <w:szCs w:val="24"/>
              </w:rPr>
              <w:t> Yêu cầu, điều kiện thực hiện thủ tục hành chính</w:t>
            </w:r>
            <w:r w:rsidRPr="00996A8B">
              <w:rPr>
                <w:rFonts w:eastAsia="Times New Roman" w:cs="Times New Roman"/>
                <w:color w:val="333333"/>
                <w:sz w:val="24"/>
                <w:szCs w:val="24"/>
                <w:lang w:val="pt-BR"/>
              </w:rPr>
              <w:t>:</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Có phương án xử lý các vấn đề về số lượng người làm việc trong đơn vị sự nghiệp công lập, tài chính, tài sản, đất đai và các vấn đề khác có liên quan.</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b/>
                <w:bCs/>
                <w:color w:val="333333"/>
                <w:sz w:val="24"/>
                <w:szCs w:val="24"/>
              </w:rPr>
              <w:t>* Căn cứ pháp lý của thủ tục hành chính</w:t>
            </w:r>
            <w:r w:rsidRPr="00996A8B">
              <w:rPr>
                <w:rFonts w:eastAsia="Times New Roman" w:cs="Times New Roman"/>
                <w:color w:val="333333"/>
                <w:sz w:val="24"/>
                <w:szCs w:val="24"/>
              </w:rPr>
              <w:t>:</w:t>
            </w:r>
          </w:p>
          <w:p w:rsidR="00996A8B" w:rsidRPr="00996A8B" w:rsidRDefault="00996A8B" w:rsidP="00996A8B">
            <w:pPr>
              <w:spacing w:before="60" w:after="60" w:line="240" w:lineRule="auto"/>
              <w:ind w:firstLine="720"/>
              <w:rPr>
                <w:rFonts w:eastAsia="Times New Roman" w:cs="Times New Roman"/>
                <w:color w:val="333333"/>
                <w:sz w:val="24"/>
                <w:szCs w:val="24"/>
              </w:rPr>
            </w:pPr>
            <w:r w:rsidRPr="00996A8B">
              <w:rPr>
                <w:rFonts w:eastAsia="Times New Roman" w:cs="Times New Roman"/>
                <w:color w:val="333333"/>
                <w:sz w:val="24"/>
                <w:szCs w:val="24"/>
              </w:rPr>
              <w:t>- Nghị định số 55/2012/NĐ-CP ngày 28/6/2012 của Chính phủ Quy định việc thành lập, tổ chức lại, giải thể đơn vị sự nghiệp công lập.</w:t>
            </w:r>
          </w:p>
        </w:tc>
      </w:tr>
      <w:tr w:rsidR="00996A8B" w:rsidRPr="00996A8B" w:rsidTr="00996A8B">
        <w:tc>
          <w:tcPr>
            <w:tcW w:w="2865" w:type="dxa"/>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r w:rsidRPr="00996A8B">
              <w:rPr>
                <w:rFonts w:ascii="Arial" w:eastAsia="Times New Roman" w:hAnsi="Arial" w:cs="Arial"/>
                <w:color w:val="333333"/>
                <w:sz w:val="18"/>
                <w:szCs w:val="18"/>
              </w:rPr>
              <w:lastRenderedPageBreak/>
              <w:t>Tệp tin đính kèm</w:t>
            </w:r>
          </w:p>
        </w:tc>
        <w:tc>
          <w:tcPr>
            <w:tcW w:w="0" w:type="auto"/>
            <w:tcBorders>
              <w:top w:val="single" w:sz="6" w:space="0" w:color="DDDDDD"/>
            </w:tcBorders>
            <w:shd w:val="clear" w:color="auto" w:fill="FFFFFF"/>
            <w:tcMar>
              <w:top w:w="120" w:type="dxa"/>
              <w:left w:w="120" w:type="dxa"/>
              <w:bottom w:w="120" w:type="dxa"/>
              <w:right w:w="120" w:type="dxa"/>
            </w:tcMar>
            <w:hideMark/>
          </w:tcPr>
          <w:p w:rsidR="00996A8B" w:rsidRPr="00996A8B" w:rsidRDefault="00996A8B" w:rsidP="00996A8B">
            <w:pPr>
              <w:spacing w:after="0" w:line="240" w:lineRule="auto"/>
              <w:rPr>
                <w:rFonts w:ascii="Arial" w:eastAsia="Times New Roman" w:hAnsi="Arial" w:cs="Arial"/>
                <w:color w:val="333333"/>
                <w:sz w:val="18"/>
                <w:szCs w:val="18"/>
              </w:rPr>
            </w:pPr>
          </w:p>
        </w:tc>
      </w:tr>
    </w:tbl>
    <w:p w:rsidR="003E268A" w:rsidRDefault="003E268A" w:rsidP="00996A8B"/>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8B"/>
    <w:rsid w:val="003E268A"/>
    <w:rsid w:val="0099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2020-01-20T09:21:00Z</dcterms:created>
  <dcterms:modified xsi:type="dcterms:W3CDTF">2020-01-20T09:22:00Z</dcterms:modified>
</cp:coreProperties>
</file>