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32" w:rsidRDefault="00AA4B32"/>
    <w:p w:rsidR="00AA4B32" w:rsidRPr="00AA4B32" w:rsidRDefault="00AA4B32" w:rsidP="00AA4B32"/>
    <w:p w:rsidR="00AA4B32" w:rsidRPr="00AA4B32" w:rsidRDefault="00AA4B32" w:rsidP="00AA4B32"/>
    <w:p w:rsidR="00AA4B32" w:rsidRPr="00AA4B32" w:rsidRDefault="00AA4B32" w:rsidP="00AA4B32"/>
    <w:p w:rsidR="00AA4B32" w:rsidRPr="00AA4B32" w:rsidRDefault="00AA4B32" w:rsidP="00AA4B32"/>
    <w:p w:rsidR="00AA4B32" w:rsidRPr="00AA4B32" w:rsidRDefault="00AA4B32" w:rsidP="00AA4B32"/>
    <w:p w:rsidR="00AA4B32" w:rsidRPr="00AA4B32" w:rsidRDefault="00AA4B32" w:rsidP="00AA4B32"/>
    <w:p w:rsidR="00AA4B32" w:rsidRDefault="00AA4B32" w:rsidP="00AA4B32"/>
    <w:p w:rsidR="00AA4B32" w:rsidRPr="00AA4B32" w:rsidRDefault="00AA4B32" w:rsidP="00AA4B32">
      <w:pPr>
        <w:tabs>
          <w:tab w:val="left" w:pos="5355"/>
        </w:tabs>
      </w:pPr>
      <w:r>
        <w:tab/>
      </w:r>
    </w:p>
    <w:tbl>
      <w:tblPr>
        <w:tblW w:w="1031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68"/>
        <w:gridCol w:w="7243"/>
      </w:tblGrid>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Cấp thực hiện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Cấp Huyện</w:t>
            </w:r>
            <w:r>
              <w:rPr>
                <w:rFonts w:ascii="Arial" w:eastAsia="Times New Roman" w:hAnsi="Arial" w:cs="Arial"/>
                <w:color w:val="333333"/>
                <w:sz w:val="18"/>
                <w:szCs w:val="18"/>
              </w:rPr>
              <w:t xml:space="preserve"> (</w:t>
            </w:r>
            <w:bookmarkStart w:id="0" w:name="_GoBack"/>
            <w:r>
              <w:rPr>
                <w:rFonts w:ascii="Arial" w:eastAsia="Times New Roman" w:hAnsi="Arial" w:cs="Arial"/>
                <w:color w:val="333333"/>
                <w:sz w:val="18"/>
                <w:szCs w:val="18"/>
              </w:rPr>
              <w:t>Thủ tục thành lập hội</w:t>
            </w:r>
            <w:bookmarkEnd w:id="0"/>
            <w:r>
              <w:rPr>
                <w:rFonts w:ascii="Arial" w:eastAsia="Times New Roman" w:hAnsi="Arial" w:cs="Arial"/>
                <w:color w:val="333333"/>
                <w:sz w:val="18"/>
                <w:szCs w:val="18"/>
              </w:rPr>
              <w:t>)</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Loại TTHC</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TTHC không được luật giao cho địa phương quy định hoặc quy định chi tiết</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Lĩnh vực</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Tổ chức phi chính phủ</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Trình tự thực hiện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Bước 1: Ban vận động thành lập hội có phạm vi hoạt động trong xã gửi hồ sơ xin thành lập hội đến Ủy ban nhân dân cấp huyện (Phòng Nội vụ).</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Bước 2: Cán bộ tiếp nhận hồ sơ xem xét hồ sơ và đề nghị bổ sung trong trường hợp hồ sơ chưa đầy đủ và hợp pháp.</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Bước 3: Kể từ ngày nhận hồ sơ hợp pháp, cán bộ tiếp nhận hồ sơ nghiên cứu, thẩm định hồ sơ xin phép thành lập hội và thực hiện quy trình lấy ý kiến các cơ quan có liên quan, tổng hợp các ý kiến góp ý, đề nghị bổ sung hồ sơ (nếu có).</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Bước 4: Trong thời hạn 30 ngày làm việc kể từ ngày nhận hồ sơ đầy đủ và hợp pháp, Ủy ban nhân dân cấp huyện xem xét, quyết định cho phép thành lập hội. Trường hợp không đồng ý phải có văn bản trả lời và nêu rõ lý do.</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Cách thức thực hiện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Nộp hồ sơ trực tiếp tại Ủy ban nhân dân cấp huyện hoặc qua đường bưu điện. Hồ sơ phải có xác nhận văn bản đến của cơ quan có thẩm quyền, nếu gửi qua đường bưu điện, thời gian được tính từ ngày đến trên phong bì.</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Thành phần hồ sơ</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a) Thành phần hồ sơ:</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Đơn đề nghị thành lập hội (theo mẫu);</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Dự thảo điều lệ hội (theo mẫu);</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Danh sách những người trong ban vận động thành lập hội được cơ quan nhà nước có thẩm quyền công nhận;</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Phiếu lý lịch tư pháp của người đứng đầu ban vận động thành lập hội;</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Văn bản xác nhận nơi dự kiến đặt trụ sở hội;</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Bản kê khai tài chính, tài sản (nếu có).</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lastRenderedPageBreak/>
              <w:t>Số bộ hồ sơ</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01 bản chính</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Mẫu đơn, mẫu tờ khai</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Layout w:type="fixed"/>
              <w:tblCellMar>
                <w:top w:w="15" w:type="dxa"/>
                <w:left w:w="15" w:type="dxa"/>
                <w:bottom w:w="15" w:type="dxa"/>
                <w:right w:w="15" w:type="dxa"/>
              </w:tblCellMar>
              <w:tblLook w:val="04A0" w:firstRow="1" w:lastRow="0" w:firstColumn="1" w:lastColumn="0" w:noHBand="0" w:noVBand="1"/>
            </w:tblPr>
            <w:tblGrid>
              <w:gridCol w:w="4163"/>
              <w:gridCol w:w="4162"/>
            </w:tblGrid>
            <w:tr w:rsidR="00AA4B32" w:rsidRPr="00AA4B32" w:rsidTr="00AA4B32">
              <w:tc>
                <w:tcPr>
                  <w:tcW w:w="3000"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eastAsia="Times New Roman" w:cs="Times New Roman"/>
                      <w:b/>
                      <w:bCs/>
                      <w:sz w:val="24"/>
                      <w:szCs w:val="24"/>
                    </w:rPr>
                  </w:pPr>
                  <w:r w:rsidRPr="00AA4B32">
                    <w:rPr>
                      <w:rFonts w:eastAsia="Times New Roman" w:cs="Times New Roman"/>
                      <w:b/>
                      <w:bCs/>
                      <w:sz w:val="24"/>
                      <w:szCs w:val="24"/>
                    </w:rPr>
                    <w:t>Tên mẫu đơn, mẫu tờ khai</w:t>
                  </w:r>
                </w:p>
              </w:tc>
              <w:tc>
                <w:tcPr>
                  <w:tcW w:w="3000"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eastAsia="Times New Roman" w:cs="Times New Roman"/>
                      <w:b/>
                      <w:bCs/>
                      <w:sz w:val="24"/>
                      <w:szCs w:val="24"/>
                    </w:rPr>
                  </w:pPr>
                  <w:r w:rsidRPr="00AA4B32">
                    <w:rPr>
                      <w:rFonts w:eastAsia="Times New Roman" w:cs="Times New Roman"/>
                      <w:b/>
                      <w:bCs/>
                      <w:sz w:val="24"/>
                      <w:szCs w:val="24"/>
                    </w:rPr>
                    <w:t>Văn bản quy định</w:t>
                  </w:r>
                </w:p>
              </w:tc>
            </w:tr>
            <w:tr w:rsidR="00AA4B32" w:rsidRPr="00AA4B32" w:rsidTr="00AA4B32">
              <w:tc>
                <w:tcPr>
                  <w:tcW w:w="8205" w:type="dxa"/>
                  <w:tcBorders>
                    <w:top w:val="single" w:sz="24" w:space="0" w:color="DDDDDD"/>
                    <w:left w:val="single" w:sz="24" w:space="0" w:color="DDDDDD"/>
                    <w:bottom w:val="single" w:sz="6" w:space="0" w:color="DDDDDD"/>
                    <w:right w:val="single" w:sz="6" w:space="0" w:color="DDDDDD"/>
                  </w:tcBorders>
                  <w:tcMar>
                    <w:top w:w="105" w:type="dxa"/>
                    <w:left w:w="105" w:type="dxa"/>
                    <w:bottom w:w="105" w:type="dxa"/>
                    <w:right w:w="105" w:type="dxa"/>
                  </w:tcMar>
                  <w:vAlign w:val="bottom"/>
                  <w:hideMark/>
                </w:tcPr>
                <w:p w:rsidR="00AA4B32" w:rsidRPr="00AA4B32" w:rsidRDefault="00AA4B32" w:rsidP="00AA4B32">
                  <w:pPr>
                    <w:spacing w:after="0" w:line="240" w:lineRule="atLeast"/>
                    <w:rPr>
                      <w:rFonts w:eastAsia="Times New Roman" w:cs="Times New Roman"/>
                      <w:sz w:val="24"/>
                      <w:szCs w:val="24"/>
                    </w:rPr>
                  </w:pPr>
                  <w:hyperlink r:id="rId6" w:history="1">
                    <w:r w:rsidRPr="00AA4B32">
                      <w:rPr>
                        <w:rFonts w:ascii="Arial" w:eastAsia="Times New Roman" w:hAnsi="Arial" w:cs="Arial"/>
                        <w:color w:val="19467F"/>
                        <w:sz w:val="20"/>
                        <w:szCs w:val="20"/>
                        <w:bdr w:val="none" w:sz="0" w:space="0" w:color="auto" w:frame="1"/>
                      </w:rPr>
                      <w:t>TT 03 ve Hoi.pdf</w:t>
                    </w:r>
                  </w:hyperlink>
                </w:p>
              </w:tc>
              <w:tc>
                <w:tcPr>
                  <w:tcW w:w="8205" w:type="dxa"/>
                  <w:tcBorders>
                    <w:top w:val="single" w:sz="24" w:space="0" w:color="DDDDDD"/>
                    <w:left w:val="single" w:sz="24" w:space="0" w:color="DDDDDD"/>
                    <w:bottom w:val="single" w:sz="6" w:space="0" w:color="DDDDDD"/>
                    <w:right w:val="single" w:sz="6" w:space="0" w:color="DDDDDD"/>
                  </w:tcBorders>
                  <w:tcMar>
                    <w:top w:w="105" w:type="dxa"/>
                    <w:left w:w="105" w:type="dxa"/>
                    <w:bottom w:w="105" w:type="dxa"/>
                    <w:right w:w="105" w:type="dxa"/>
                  </w:tcMar>
                  <w:vAlign w:val="bottom"/>
                  <w:hideMark/>
                </w:tcPr>
                <w:p w:rsidR="00AA4B32" w:rsidRPr="00AA4B32" w:rsidRDefault="00AA4B32" w:rsidP="00AA4B32">
                  <w:pPr>
                    <w:spacing w:after="0" w:line="240" w:lineRule="atLeast"/>
                    <w:rPr>
                      <w:rFonts w:eastAsia="Times New Roman" w:cs="Times New Roman"/>
                      <w:sz w:val="24"/>
                      <w:szCs w:val="24"/>
                    </w:rPr>
                  </w:pPr>
                </w:p>
              </w:tc>
            </w:tr>
          </w:tbl>
          <w:p w:rsidR="00AA4B32" w:rsidRPr="00AA4B32" w:rsidRDefault="00AA4B32" w:rsidP="00AA4B32">
            <w:pPr>
              <w:spacing w:after="0" w:line="240" w:lineRule="atLeast"/>
              <w:jc w:val="both"/>
              <w:rPr>
                <w:rFonts w:ascii="Arial" w:eastAsia="Times New Roman" w:hAnsi="Arial" w:cs="Arial"/>
                <w:color w:val="333333"/>
                <w:sz w:val="18"/>
                <w:szCs w:val="18"/>
              </w:rPr>
            </w:pP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Phí</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Lệ phí</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Mức giá</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Thời hạn giải quyết</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30 ngày làm việc kể từ ngày Ủy ban nhân dân cấp huyện nhận hồ sơ đầy đủ và hợp pháp.</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Đối tượng thực hiện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Ban vận động thành lập hội có phạm vi hoạt động trong xã.</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Cơ quan thực hiện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Phòng Nội vụ</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Cơ quan có thẩm quyền quyết định</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Địa chỉ tiếp nhận hồ sơ</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Cơ quan được ủy quyền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Cơ quan phối hợp</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Kết quả thực hiện</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Quyết định cho phép thành lập hội.</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Căn cứ pháp lý của TTHC</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numPr>
                <w:ilvl w:val="0"/>
                <w:numId w:val="1"/>
              </w:numPr>
              <w:spacing w:after="0" w:line="270" w:lineRule="atLeast"/>
              <w:ind w:left="0"/>
              <w:jc w:val="both"/>
              <w:textAlignment w:val="baseline"/>
              <w:rPr>
                <w:rFonts w:ascii="Arial" w:eastAsia="Times New Roman" w:hAnsi="Arial" w:cs="Arial"/>
                <w:color w:val="333333"/>
                <w:sz w:val="18"/>
                <w:szCs w:val="18"/>
              </w:rPr>
            </w:pPr>
            <w:hyperlink r:id="rId7" w:tgtFrame="_blank" w:tooltip="Nghị định 45/2010/NĐ-CP" w:history="1">
              <w:r w:rsidRPr="00AA4B32">
                <w:rPr>
                  <w:rFonts w:ascii="Arial" w:eastAsia="Times New Roman" w:hAnsi="Arial" w:cs="Arial"/>
                  <w:color w:val="19467F"/>
                  <w:sz w:val="20"/>
                  <w:szCs w:val="20"/>
                  <w:u w:val="single"/>
                  <w:bdr w:val="none" w:sz="0" w:space="0" w:color="auto" w:frame="1"/>
                </w:rPr>
                <w:t>Nghị định 45/2010/NĐ-CP</w:t>
              </w:r>
            </w:hyperlink>
          </w:p>
          <w:p w:rsidR="00AA4B32" w:rsidRPr="00AA4B32" w:rsidRDefault="00AA4B32" w:rsidP="00AA4B32">
            <w:pPr>
              <w:numPr>
                <w:ilvl w:val="0"/>
                <w:numId w:val="1"/>
              </w:numPr>
              <w:spacing w:after="0" w:line="270" w:lineRule="atLeast"/>
              <w:ind w:left="0"/>
              <w:jc w:val="both"/>
              <w:textAlignment w:val="baseline"/>
              <w:rPr>
                <w:rFonts w:ascii="Arial" w:eastAsia="Times New Roman" w:hAnsi="Arial" w:cs="Arial"/>
                <w:color w:val="333333"/>
                <w:sz w:val="18"/>
                <w:szCs w:val="18"/>
              </w:rPr>
            </w:pPr>
            <w:hyperlink r:id="rId8" w:tgtFrame="_blank" w:tooltip="Nghị định 33/2012/NĐ-CP" w:history="1">
              <w:r w:rsidRPr="00AA4B32">
                <w:rPr>
                  <w:rFonts w:ascii="Arial" w:eastAsia="Times New Roman" w:hAnsi="Arial" w:cs="Arial"/>
                  <w:color w:val="19467F"/>
                  <w:sz w:val="20"/>
                  <w:szCs w:val="20"/>
                  <w:u w:val="single"/>
                  <w:bdr w:val="none" w:sz="0" w:space="0" w:color="auto" w:frame="1"/>
                </w:rPr>
                <w:t>Nghị định 33/2012/NĐ-CP</w:t>
              </w:r>
            </w:hyperlink>
          </w:p>
          <w:p w:rsidR="00AA4B32" w:rsidRPr="00AA4B32" w:rsidRDefault="00AA4B32" w:rsidP="00AA4B32">
            <w:pPr>
              <w:numPr>
                <w:ilvl w:val="0"/>
                <w:numId w:val="1"/>
              </w:numPr>
              <w:spacing w:after="0" w:line="270" w:lineRule="atLeast"/>
              <w:ind w:left="0"/>
              <w:jc w:val="both"/>
              <w:textAlignment w:val="baseline"/>
              <w:rPr>
                <w:rFonts w:ascii="Arial" w:eastAsia="Times New Roman" w:hAnsi="Arial" w:cs="Arial"/>
                <w:color w:val="333333"/>
                <w:sz w:val="18"/>
                <w:szCs w:val="18"/>
              </w:rPr>
            </w:pPr>
            <w:hyperlink r:id="rId9" w:tgtFrame="_blank" w:tooltip="Thông tư 03/2013/TT-BNV" w:history="1">
              <w:r w:rsidRPr="00AA4B32">
                <w:rPr>
                  <w:rFonts w:ascii="Arial" w:eastAsia="Times New Roman" w:hAnsi="Arial" w:cs="Arial"/>
                  <w:color w:val="19467F"/>
                  <w:sz w:val="20"/>
                  <w:szCs w:val="20"/>
                  <w:u w:val="single"/>
                  <w:bdr w:val="none" w:sz="0" w:space="0" w:color="auto" w:frame="1"/>
                </w:rPr>
                <w:t>Thông tư 03/2013/TT-BNV</w:t>
              </w:r>
            </w:hyperlink>
          </w:p>
          <w:p w:rsidR="00AA4B32" w:rsidRPr="00AA4B32" w:rsidRDefault="00AA4B32" w:rsidP="00AA4B32">
            <w:pPr>
              <w:numPr>
                <w:ilvl w:val="0"/>
                <w:numId w:val="1"/>
              </w:numPr>
              <w:spacing w:after="0" w:line="270" w:lineRule="atLeast"/>
              <w:ind w:left="0"/>
              <w:jc w:val="both"/>
              <w:textAlignment w:val="baseline"/>
              <w:rPr>
                <w:rFonts w:ascii="Arial" w:eastAsia="Times New Roman" w:hAnsi="Arial" w:cs="Arial"/>
                <w:color w:val="333333"/>
                <w:sz w:val="18"/>
                <w:szCs w:val="18"/>
              </w:rPr>
            </w:pPr>
            <w:hyperlink r:id="rId10" w:tgtFrame="_blank" w:tooltip="Thông tư 03/2014/TT-BNV" w:history="1">
              <w:r w:rsidRPr="00AA4B32">
                <w:rPr>
                  <w:rFonts w:ascii="Arial" w:eastAsia="Times New Roman" w:hAnsi="Arial" w:cs="Arial"/>
                  <w:color w:val="19467F"/>
                  <w:sz w:val="20"/>
                  <w:szCs w:val="20"/>
                  <w:u w:val="single"/>
                  <w:bdr w:val="none" w:sz="0" w:space="0" w:color="auto" w:frame="1"/>
                </w:rPr>
                <w:t>Thông tư 03/2014/TT-BNV</w:t>
              </w:r>
            </w:hyperlink>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t>Yêu cầu hoặc điều kiện để thực hiện TTHC</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a) Căn cứ tình hình thực tế địa phương, Chủ tịch Ủy ban nhân dân cấp tỉnh ủy quyền để Chủ tịch Ủy ban nhân dân cấp huyện cho phép thành lập hội có phạm vi hoạt động trong xã.</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b) Điều kiện thành lập hội:</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Có mục đích hoạt động không trái với pháp luật, không trùng lặp về tên gọi và lĩnh vực hoạt động chính với hội đã được thành lập hợp pháp trước đó trên cùng địa bàn lãnh thổ;</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Có điều lệ;</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Có trụ sở;</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 Hội có phạm vi hoạt động trong xã có ít nhất mười công dân, tổ chức trong xã có đủ điều kiện, tự nguyện, có đơn đăng ký tham gia thành lập hội.</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c) Phải có ban vận động thành lập hội được cơ quan quản lý nhà nước về ngành, lĩnh vực chính mà hội dự kiến hoạt động công nhận.</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xml:space="preserve">d) Trong thời hạn 90 ngày kể từ ngày quyết định cho phép thành lập hội có hiệu lực, </w:t>
            </w:r>
            <w:r w:rsidRPr="00AA4B32">
              <w:rPr>
                <w:rFonts w:ascii="Arial" w:eastAsia="Times New Roman" w:hAnsi="Arial" w:cs="Arial"/>
                <w:color w:val="333333"/>
                <w:sz w:val="18"/>
                <w:szCs w:val="18"/>
              </w:rPr>
              <w:lastRenderedPageBreak/>
              <w:t>ban vận động thành lập hội phải tổ chức đại hội.</w:t>
            </w:r>
          </w:p>
          <w:p w:rsidR="00AA4B32" w:rsidRPr="00AA4B32" w:rsidRDefault="00AA4B32" w:rsidP="00AA4B32">
            <w:pPr>
              <w:spacing w:after="0" w:line="240" w:lineRule="atLeast"/>
              <w:jc w:val="both"/>
              <w:textAlignment w:val="baseline"/>
              <w:rPr>
                <w:rFonts w:ascii="Arial" w:eastAsia="Times New Roman" w:hAnsi="Arial" w:cs="Arial"/>
                <w:color w:val="333333"/>
                <w:sz w:val="18"/>
                <w:szCs w:val="18"/>
              </w:rPr>
            </w:pPr>
            <w:r w:rsidRPr="00AA4B32">
              <w:rPr>
                <w:rFonts w:ascii="Arial" w:eastAsia="Times New Roman" w:hAnsi="Arial" w:cs="Arial"/>
                <w:color w:val="333333"/>
                <w:sz w:val="18"/>
                <w:szCs w:val="18"/>
              </w:rPr>
              <w:t>          đ) Nếu qua thời hạn trên ban vận động thành lập hội không tổ chức đại hội, thì trong thời hạn 15 ngày kể từ ngày hết thời hạn tổ chức đại hội, ban vận động thành lập hội có văn bản gửi cơ quan nhà nước đã quyết định cho phép thành lập hội đề nghị gia hạn. Thời gian gia hạn không quá 30 ngày, nếu quá thời gian được gia hạn mà ban vận động thành lập hội không tổ chức đại hội thì quyết định cho phép thành lập hội hết hiệu lực. Nếu có nhu cầu tiếp tục thành lập hội, ban vận động thành lập hội phải xin phép thành lập lại hội, trình tự thủ tục như mới bắt đầu.</w:t>
            </w:r>
          </w:p>
        </w:tc>
      </w:tr>
      <w:tr w:rsidR="00AA4B32" w:rsidRPr="00AA4B32" w:rsidTr="00AA4B32">
        <w:tc>
          <w:tcPr>
            <w:tcW w:w="3068" w:type="dxa"/>
            <w:tcBorders>
              <w:top w:val="single" w:sz="24" w:space="0" w:color="DDDDDD"/>
              <w:left w:val="single" w:sz="24"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B32" w:rsidRPr="00AA4B32" w:rsidRDefault="00AA4B32" w:rsidP="00AA4B32">
            <w:pPr>
              <w:spacing w:after="0" w:line="240" w:lineRule="atLeast"/>
              <w:rPr>
                <w:rFonts w:ascii="Arial" w:eastAsia="Times New Roman" w:hAnsi="Arial" w:cs="Arial"/>
                <w:b/>
                <w:bCs/>
                <w:color w:val="333333"/>
                <w:sz w:val="18"/>
                <w:szCs w:val="18"/>
              </w:rPr>
            </w:pPr>
            <w:r w:rsidRPr="00AA4B32">
              <w:rPr>
                <w:rFonts w:ascii="Arial" w:eastAsia="Times New Roman" w:hAnsi="Arial" w:cs="Arial"/>
                <w:b/>
                <w:bCs/>
                <w:color w:val="333333"/>
                <w:sz w:val="18"/>
                <w:szCs w:val="18"/>
              </w:rPr>
              <w:lastRenderedPageBreak/>
              <w:t>Đánh giá tác động TTHC</w:t>
            </w:r>
          </w:p>
        </w:tc>
        <w:tc>
          <w:tcPr>
            <w:tcW w:w="7243" w:type="dxa"/>
            <w:tcBorders>
              <w:top w:val="single" w:sz="24" w:space="0" w:color="DDDDDD"/>
              <w:left w:val="single" w:sz="24"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B32" w:rsidRPr="00AA4B32" w:rsidRDefault="00AA4B32" w:rsidP="00AA4B32">
            <w:pPr>
              <w:spacing w:after="0" w:line="240" w:lineRule="atLeast"/>
              <w:jc w:val="both"/>
              <w:rPr>
                <w:rFonts w:ascii="Arial" w:eastAsia="Times New Roman" w:hAnsi="Arial" w:cs="Arial"/>
                <w:color w:val="333333"/>
                <w:sz w:val="18"/>
                <w:szCs w:val="18"/>
              </w:rPr>
            </w:pPr>
            <w:r w:rsidRPr="00AA4B32">
              <w:rPr>
                <w:rFonts w:ascii="Arial" w:eastAsia="Times New Roman" w:hAnsi="Arial" w:cs="Arial"/>
                <w:color w:val="333333"/>
                <w:sz w:val="18"/>
                <w:szCs w:val="18"/>
              </w:rPr>
              <w:t>Không có thông tin</w:t>
            </w:r>
          </w:p>
        </w:tc>
      </w:tr>
    </w:tbl>
    <w:p w:rsidR="003E268A" w:rsidRPr="00AA4B32" w:rsidRDefault="003E268A" w:rsidP="00AA4B32">
      <w:pPr>
        <w:tabs>
          <w:tab w:val="left" w:pos="5355"/>
        </w:tabs>
      </w:pPr>
    </w:p>
    <w:sectPr w:rsidR="003E268A" w:rsidRPr="00AA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EB6"/>
    <w:multiLevelType w:val="multilevel"/>
    <w:tmpl w:val="C14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32"/>
    <w:rsid w:val="003E268A"/>
    <w:rsid w:val="00AA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B3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A4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B3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A4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0330">
      <w:bodyDiv w:val="1"/>
      <w:marLeft w:val="0"/>
      <w:marRight w:val="0"/>
      <w:marTop w:val="0"/>
      <w:marBottom w:val="0"/>
      <w:divBdr>
        <w:top w:val="none" w:sz="0" w:space="0" w:color="auto"/>
        <w:left w:val="none" w:sz="0" w:space="0" w:color="auto"/>
        <w:bottom w:val="none" w:sz="0" w:space="0" w:color="auto"/>
        <w:right w:val="none" w:sz="0" w:space="0" w:color="auto"/>
      </w:divBdr>
      <w:divsChild>
        <w:div w:id="1454981889">
          <w:marLeft w:val="0"/>
          <w:marRight w:val="0"/>
          <w:marTop w:val="0"/>
          <w:marBottom w:val="0"/>
          <w:divBdr>
            <w:top w:val="none" w:sz="0" w:space="0" w:color="auto"/>
            <w:left w:val="none" w:sz="0" w:space="0" w:color="auto"/>
            <w:bottom w:val="none" w:sz="0" w:space="0" w:color="auto"/>
            <w:right w:val="none" w:sz="0" w:space="0" w:color="auto"/>
          </w:divBdr>
        </w:div>
        <w:div w:id="324209407">
          <w:marLeft w:val="0"/>
          <w:marRight w:val="0"/>
          <w:marTop w:val="0"/>
          <w:marBottom w:val="0"/>
          <w:divBdr>
            <w:top w:val="none" w:sz="0" w:space="0" w:color="auto"/>
            <w:left w:val="none" w:sz="0" w:space="0" w:color="auto"/>
            <w:bottom w:val="none" w:sz="0" w:space="0" w:color="auto"/>
            <w:right w:val="none" w:sz="0" w:space="0" w:color="auto"/>
          </w:divBdr>
        </w:div>
        <w:div w:id="1679774824">
          <w:marLeft w:val="0"/>
          <w:marRight w:val="0"/>
          <w:marTop w:val="0"/>
          <w:marBottom w:val="0"/>
          <w:divBdr>
            <w:top w:val="none" w:sz="0" w:space="0" w:color="auto"/>
            <w:left w:val="none" w:sz="0" w:space="0" w:color="auto"/>
            <w:bottom w:val="none" w:sz="0" w:space="0" w:color="auto"/>
            <w:right w:val="none" w:sz="0" w:space="0" w:color="auto"/>
          </w:divBdr>
        </w:div>
        <w:div w:id="1850481839">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27439" TargetMode="External"/><Relationship Id="rId3" Type="http://schemas.microsoft.com/office/2007/relationships/stylesWithEffects" Target="stylesWithEffects.xml"/><Relationship Id="rId7" Type="http://schemas.openxmlformats.org/officeDocument/2006/relationships/hyperlink" Target="http://vbpl.vn/TW/Pages/vbpq-thuoctinh.aspx?ItemID=253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Lists/MauDonToKhai/Attachments/197722/TT%2003%20ve%20Hoi.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bpl.vn/TW/Pages/vbpq-thuoctinh.aspx?ItemID=37896" TargetMode="External"/><Relationship Id="rId4" Type="http://schemas.openxmlformats.org/officeDocument/2006/relationships/settings" Target="settings.xml"/><Relationship Id="rId9" Type="http://schemas.openxmlformats.org/officeDocument/2006/relationships/hyperlink" Target="http://vbpl.vn/TW/Pages/vbpq-thuoctinh.aspx?ItemID=31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2020-01-20T09:05:00Z</dcterms:created>
  <dcterms:modified xsi:type="dcterms:W3CDTF">2020-01-20T09:08:00Z</dcterms:modified>
</cp:coreProperties>
</file>