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97" w:rsidRPr="000F5297" w:rsidRDefault="000F5297" w:rsidP="000F5297">
      <w:pPr>
        <w:shd w:val="clear" w:color="auto" w:fill="FFFFFF"/>
        <w:spacing w:after="0" w:line="240" w:lineRule="auto"/>
        <w:rPr>
          <w:rFonts w:ascii="Helvetica" w:eastAsia="Times New Roman" w:hAnsi="Helvetica" w:cs="Times New Roman"/>
          <w:b/>
          <w:bCs/>
          <w:color w:val="333333"/>
          <w:sz w:val="24"/>
          <w:szCs w:val="24"/>
        </w:rPr>
      </w:pPr>
      <w:r w:rsidRPr="000F5297">
        <w:rPr>
          <w:rFonts w:ascii="Helvetica" w:eastAsia="Times New Roman" w:hAnsi="Helvetica" w:cs="Times New Roman"/>
          <w:b/>
          <w:bCs/>
          <w:color w:val="333333"/>
          <w:sz w:val="24"/>
          <w:szCs w:val="24"/>
        </w:rPr>
        <w:t>1. Thủ tục thẩm định nhiệm vụ, nhiệm vụ điều chỉnh quy hoạch chi tiết của dự án đầu tư xây dựng công trình theo hình thức kinh doanh thuộc thẩm quyền phê duyệt của UBND cấp huyện</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eastAsia="Times New Roman" w:cs="Times New Roman"/>
          <w:b/>
          <w:bCs/>
          <w:color w:val="333333"/>
          <w:sz w:val="26"/>
          <w:szCs w:val="26"/>
        </w:rPr>
        <w:t>Trình tự thực hiện:</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Tổ chức, cá nhân chủ đầu tư dự án đầu tư xây dựng công trình nộp hồ sơ thẩm định nhiệm vụ, nhiệm vụ điều chỉnh quy hoạch chi tiết tại Trung tâm Hành chính công cấp huyện hoặc tại Bộ phận tiếp nhận và trả kết quả - Ủy ban nhân dân cấp huyện (các huyện chưa thành lập Trung tâm hành chính công) hoặc qua dịch vụ bưu chính hoặc trực tuyến tại địa chỉ: </w:t>
      </w:r>
      <w:r>
        <w:rPr>
          <w:rFonts w:ascii="Helvetica" w:eastAsia="Times New Roman" w:hAnsi="Helvetica" w:cs="Times New Roman"/>
          <w:i/>
          <w:iCs/>
          <w:color w:val="333333"/>
          <w:sz w:val="20"/>
          <w:szCs w:val="20"/>
        </w:rPr>
        <w:t>dichvucong</w:t>
      </w:r>
      <w:bookmarkStart w:id="0" w:name="_GoBack"/>
      <w:bookmarkEnd w:id="0"/>
      <w:r w:rsidRPr="000F5297">
        <w:rPr>
          <w:rFonts w:ascii="Helvetica" w:eastAsia="Times New Roman" w:hAnsi="Helvetica" w:cs="Times New Roman"/>
          <w:i/>
          <w:iCs/>
          <w:color w:val="333333"/>
          <w:sz w:val="20"/>
          <w:szCs w:val="20"/>
        </w:rPr>
        <w:t>.</w:t>
      </w:r>
      <w:r>
        <w:rPr>
          <w:rFonts w:ascii="Helvetica" w:eastAsia="Times New Roman" w:hAnsi="Helvetica" w:cs="Times New Roman"/>
          <w:i/>
          <w:iCs/>
          <w:color w:val="333333"/>
          <w:sz w:val="20"/>
          <w:szCs w:val="20"/>
        </w:rPr>
        <w:t>gialai</w:t>
      </w:r>
      <w:r w:rsidRPr="000F5297">
        <w:rPr>
          <w:rFonts w:ascii="Helvetica" w:eastAsia="Times New Roman" w:hAnsi="Helvetica" w:cs="Times New Roman"/>
          <w:i/>
          <w:iCs/>
          <w:color w:val="333333"/>
          <w:sz w:val="20"/>
          <w:szCs w:val="20"/>
        </w:rPr>
        <w:t>.gov.vn</w:t>
      </w:r>
      <w:r w:rsidRPr="000F5297">
        <w:rPr>
          <w:rFonts w:ascii="Helvetica" w:eastAsia="Times New Roman" w:hAnsi="Helvetica" w:cs="Times New Roman"/>
          <w:color w:val="333333"/>
          <w:sz w:val="20"/>
          <w:szCs w:val="20"/>
        </w:rPr>
        <w:t>.</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Trường hợp nộp hồ sơ trực tuyến, người yêu cầu chuẩn bị hồ sơ nhưng không phải chứng thực, tất cả được scan hoặc chụp từ bản chính và gửi bằng tài khoản đã được đăng ký sử dụng dịch vụ này. Hệ thống sẽ tự động thông báo kết quả tiếp nhận </w:t>
      </w:r>
      <w:r w:rsidRPr="000F5297">
        <w:rPr>
          <w:rFonts w:ascii="Helvetica" w:eastAsia="Times New Roman" w:hAnsi="Helvetica" w:cs="Times New Roman"/>
          <w:i/>
          <w:iCs/>
          <w:color w:val="333333"/>
          <w:sz w:val="20"/>
          <w:szCs w:val="20"/>
        </w:rPr>
        <w:t>(Kèm mã hồ sơ)</w:t>
      </w:r>
      <w:r w:rsidRPr="000F5297">
        <w:rPr>
          <w:rFonts w:ascii="Helvetica" w:eastAsia="Times New Roman" w:hAnsi="Helvetica" w:cs="Times New Roman"/>
          <w:color w:val="333333"/>
          <w:sz w:val="20"/>
          <w:szCs w:val="20"/>
        </w:rPr>
        <w:t> thông qua tài khoản, số điện thoại đã được đăng ký.</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Người tiếp nhận có trách nhiệm kiểm tra ngay toàn bộ hồ sơ, đối chiếu thông tin và tính hợp lệ của giấy tờ trong hồ sơ do người yêu cầu nộp, xuất trình.</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Hồ sơ sau khi đã được hướng dẫn theo quy định mà không được bổ sung,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Người tiếp nhận chuyển hồ sơ đến Phòng kinh tế và hạ tầng/Phòng Quản lý đô thị để tổ chức thẩm định theo quy định pháp luật.</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Trong thời hạn 10 ngày làm việc kể từ ngày nhận đủ hồ sơ hợp lệ, Phòng kinh tế và hạ tầng/Phòng Quản lý đô thị để tổ chức thẩm định theo quy định pháp luật lập Báo cáo thẩm định nhiệm vụ, nhiệm vụ điều chỉnh quy hoạch đối với thẩm định nhiệm vụ, nhiệm vụ điều chỉnh quy hoạch chi tiết (theo quy định của Luật Quy hoạch đô thị và Nghị định số 37/2010/NĐ-CP)</w:t>
      </w:r>
      <w:hyperlink r:id="rId5" w:history="1">
        <w:r w:rsidRPr="000F5297">
          <w:rPr>
            <w:rFonts w:ascii="Helvetica" w:eastAsia="Times New Roman" w:hAnsi="Helvetica" w:cs="Times New Roman"/>
            <w:color w:val="000000"/>
            <w:sz w:val="20"/>
            <w:szCs w:val="20"/>
          </w:rPr>
          <w:t>;</w:t>
        </w:r>
      </w:hyperlink>
      <w:r w:rsidRPr="000F5297">
        <w:rPr>
          <w:rFonts w:ascii="Helvetica" w:eastAsia="Times New Roman" w:hAnsi="Helvetica" w:cs="Times New Roman"/>
          <w:color w:val="333333"/>
          <w:sz w:val="20"/>
          <w:szCs w:val="20"/>
        </w:rPr>
        <w:t> 07 ngày làm việc kể từ ngày nhận đủ hồ sơ hợp lệ, Phòng kinh tế và hạ tầng/Phòng Kinh tế/ Phòng quản lý đô thị để tổ chức thẩm định theo quy định pháp luật lập Báo cáo thẩm định nhiệm vụ, nhiệm vụ điều chỉnh quy hoạch chi tiết xây dựng khu chức năng đặc thù, điểm dân cư nông thôn (theo quy định của Luật Xây dựng và Nghị định số 44/2015/NĐ-CP):</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Nhận kết quả:</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Trường hợp hồ sơ nộp trực tiếp cá nhân mang theo phiếu hẹn đến nhận kết quả tại Trung tâm Hành chính công cấp huyện hoặc tại Bộ phận tiếp nhận và trả kết quả - Ủy ban nhân dân cấp huyện hoặc trả kết quả qua dịch vụ bưu chính.</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Trường hợp hồ sơ nộp trực tuyến hoặc qua dịch vụ bưu chính, cá nhân khi đến nhận kết quả mang theo bản gốc để đối chiếu với giấy tờ có liên quan đã được gửi trực tuyến</w:t>
      </w:r>
      <w:r w:rsidRPr="000F5297">
        <w:rPr>
          <w:rFonts w:ascii="Helvetica" w:eastAsia="Times New Roman" w:hAnsi="Helvetica" w:cs="Times New Roman"/>
          <w:b/>
          <w:bCs/>
          <w:color w:val="333333"/>
          <w:sz w:val="20"/>
          <w:szCs w:val="20"/>
        </w:rPr>
        <w:t>.</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color w:val="333333"/>
          <w:sz w:val="20"/>
          <w:szCs w:val="20"/>
        </w:rPr>
        <w:t>      Cách thức thực hiện:</w:t>
      </w:r>
      <w:r w:rsidRPr="000F5297">
        <w:rPr>
          <w:rFonts w:ascii="Helvetica" w:eastAsia="Times New Roman" w:hAnsi="Helvetica" w:cs="Times New Roman"/>
          <w:b/>
          <w:bCs/>
          <w:i/>
          <w:iCs/>
          <w:color w:val="333333"/>
          <w:sz w:val="20"/>
          <w:szCs w:val="20"/>
        </w:rPr>
        <w:t> </w:t>
      </w:r>
      <w:r w:rsidRPr="000F5297">
        <w:rPr>
          <w:rFonts w:ascii="Helvetica" w:eastAsia="Times New Roman" w:hAnsi="Helvetica" w:cs="Times New Roman"/>
          <w:color w:val="333333"/>
          <w:sz w:val="20"/>
          <w:szCs w:val="20"/>
        </w:rPr>
        <w:t>Nộp hồ sơ trực tiếp hoặc qua dịch vụ bưu chính hoặc trực tuyến.</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color w:val="333333"/>
          <w:sz w:val="20"/>
          <w:szCs w:val="20"/>
        </w:rPr>
        <w:t>      Hồ sơ:</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i/>
          <w:iCs/>
          <w:color w:val="333333"/>
          <w:sz w:val="20"/>
          <w:szCs w:val="20"/>
        </w:rPr>
        <w:t>      * Thành phần hồ sơ:</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Đối với thẩm định nhiệm vụ, nhiệm vụ điều chỉnh quy hoạch chi tiết(theo quy định của Luật Quy hoạch đô thị và Nghị định số 37/2010/NĐ-CP) thành phần hồ sơ gồm:</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Tờ trình đề nghị thẩm định;</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Thuyết minh nội dung nhiệm vụ;</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lastRenderedPageBreak/>
        <w:t>      + Dự thảo quyết định phê duyệt nhiệm vụ;</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Các bản vẽ in màu thu nhỏ;</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Các văn bản pháp lý có liên quan.</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Đối với thẩm định nhiệm vụ, nhiệm vụ điều chỉnh quy hoạch chi tiết xây dựng khu chức năng đặc thù, điểm dân cư nông thôn (theo quy định của Luật Xây dựng và Nghị định số 44/2015/NĐ-CP) thành phần hồ sơ gồm:</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Tờ trình đề nghị thẩm định;</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Thuyết minh nội dung nhiệm vụ;</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Dự thảo quyết định phê duyệt nhiệm vụ;</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Các bản vẽ in màu thu nhỏ;</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Các văn bản pháp lý có liên quan.</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Văn bản giải trình ý kiến của các cơ quan, tổ chức và cộng đồng dân cư về nội dung nhiệm vụ quy hoạch; hồ sơ pháp nhân và hồ sơ năng lực của tổ chức tư vấn lập quy hoạch xây dựng.</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i/>
          <w:iCs/>
          <w:color w:val="333333"/>
          <w:sz w:val="20"/>
          <w:szCs w:val="20"/>
        </w:rPr>
        <w:t>      * Số lượng hồ sơ:</w:t>
      </w:r>
      <w:r w:rsidRPr="000F5297">
        <w:rPr>
          <w:rFonts w:ascii="Helvetica" w:eastAsia="Times New Roman" w:hAnsi="Helvetica" w:cs="Times New Roman"/>
          <w:color w:val="333333"/>
          <w:sz w:val="20"/>
          <w:szCs w:val="20"/>
        </w:rPr>
        <w:t> 03 (bộ)</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color w:val="333333"/>
          <w:sz w:val="20"/>
          <w:szCs w:val="20"/>
        </w:rPr>
        <w:t>      Thời hạn giải quyết:</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Đối với thẩm định nhiệm vụ, nhiệm vụ điều chỉnh quy hoạch chi tiết (theo quy định của Luật Quy hoạch đô thị và Nghị định số 37/2010/NĐ-CP):10 ngày làm việc kể từ ngày nhận đủ hồ sơ hợp lệ.</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Đối với thẩm định nhiệm vụ, nhiệm vụ điều chỉnh quy hoạch chi tiết xây dựng khu chức năng đặc thù, điểm dân cư nông thôn (theo quy định của Luật Xây dựng và Nghị định số 44/2015/NĐ-CP): 7 ngày làm việc kể từ ngày nhận đủ hồ sơ hợp lệ.</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color w:val="333333"/>
          <w:sz w:val="20"/>
          <w:szCs w:val="20"/>
        </w:rPr>
        <w:t>      Đối tượng thực hiện TTHC:</w:t>
      </w:r>
      <w:r w:rsidRPr="000F5297">
        <w:rPr>
          <w:rFonts w:ascii="Helvetica" w:eastAsia="Times New Roman" w:hAnsi="Helvetica" w:cs="Times New Roman"/>
          <w:b/>
          <w:bCs/>
          <w:i/>
          <w:iCs/>
          <w:color w:val="333333"/>
          <w:sz w:val="20"/>
          <w:szCs w:val="20"/>
        </w:rPr>
        <w:t> </w:t>
      </w:r>
      <w:r w:rsidRPr="000F5297">
        <w:rPr>
          <w:rFonts w:ascii="Helvetica" w:eastAsia="Times New Roman" w:hAnsi="Helvetica" w:cs="Times New Roman"/>
          <w:color w:val="333333"/>
          <w:sz w:val="20"/>
          <w:szCs w:val="20"/>
        </w:rPr>
        <w:t>Chủ đầu tư dự án đầu tư xây dựng công trình.</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color w:val="333333"/>
          <w:sz w:val="20"/>
          <w:szCs w:val="20"/>
        </w:rPr>
        <w:t>      Cơ quan thực hiện TTHC:</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i/>
          <w:iCs/>
          <w:color w:val="333333"/>
          <w:sz w:val="20"/>
          <w:szCs w:val="20"/>
        </w:rPr>
        <w:t>      - Cơ quan có thẩm quyền quyết định theo quy định:</w:t>
      </w:r>
      <w:r w:rsidRPr="000F5297">
        <w:rPr>
          <w:rFonts w:ascii="Helvetica" w:eastAsia="Times New Roman" w:hAnsi="Helvetica" w:cs="Times New Roman"/>
          <w:color w:val="333333"/>
          <w:sz w:val="20"/>
          <w:szCs w:val="20"/>
        </w:rPr>
        <w:t>UBND huyện, thành phố</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i/>
          <w:iCs/>
          <w:color w:val="333333"/>
          <w:sz w:val="20"/>
          <w:szCs w:val="20"/>
        </w:rPr>
        <w:t>      - Cơ quan trực tiếp thực hiện:</w:t>
      </w:r>
      <w:r w:rsidRPr="000F5297">
        <w:rPr>
          <w:rFonts w:ascii="Helvetica" w:eastAsia="Times New Roman" w:hAnsi="Helvetica" w:cs="Times New Roman"/>
          <w:color w:val="333333"/>
          <w:sz w:val="20"/>
          <w:szCs w:val="20"/>
        </w:rPr>
        <w:t> Phòng kinh tế và hạ tầng/Phòng Quản lý đô thị</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color w:val="333333"/>
          <w:sz w:val="20"/>
          <w:szCs w:val="20"/>
        </w:rPr>
        <w:t>      Kết quả thực hiện TTHC</w:t>
      </w:r>
      <w:r w:rsidRPr="000F5297">
        <w:rPr>
          <w:rFonts w:ascii="Helvetica" w:eastAsia="Times New Roman" w:hAnsi="Helvetica" w:cs="Times New Roman"/>
          <w:color w:val="333333"/>
          <w:sz w:val="20"/>
          <w:szCs w:val="20"/>
        </w:rPr>
        <w:t>:</w:t>
      </w:r>
      <w:r w:rsidRPr="000F5297">
        <w:rPr>
          <w:rFonts w:ascii="Helvetica" w:eastAsia="Times New Roman" w:hAnsi="Helvetica" w:cs="Times New Roman"/>
          <w:i/>
          <w:iCs/>
          <w:color w:val="333333"/>
          <w:sz w:val="20"/>
          <w:szCs w:val="20"/>
        </w:rPr>
        <w:t> </w:t>
      </w:r>
      <w:r w:rsidRPr="000F5297">
        <w:rPr>
          <w:rFonts w:ascii="Helvetica" w:eastAsia="Times New Roman" w:hAnsi="Helvetica" w:cs="Times New Roman"/>
          <w:color w:val="333333"/>
          <w:sz w:val="20"/>
          <w:szCs w:val="20"/>
        </w:rPr>
        <w:t>Báo cáo thẩm định nhiệm vụ, nhiệm vụ điều chỉnh quy hoạch.</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color w:val="333333"/>
          <w:sz w:val="20"/>
          <w:szCs w:val="20"/>
        </w:rPr>
        <w:t>      Phí, lệ phí</w:t>
      </w:r>
      <w:r w:rsidRPr="000F5297">
        <w:rPr>
          <w:rFonts w:ascii="Helvetica" w:eastAsia="Times New Roman" w:hAnsi="Helvetica" w:cs="Times New Roman"/>
          <w:color w:val="333333"/>
          <w:sz w:val="20"/>
          <w:szCs w:val="20"/>
        </w:rPr>
        <w:t>: Phí thẩm định được thực hiện theo quy định tại Thông tư số 05/2017/TT-BXD ngày 05 tháng 4 năm 2017 của Bộ Xây dựng hướng dẫn xác định quản lý, chi phí quy hoạch xây dưng và quy hoạch đô thị</w:t>
      </w:r>
    </w:p>
    <w:p w:rsidR="000F5297" w:rsidRPr="000F5297" w:rsidRDefault="000F5297" w:rsidP="000F5297">
      <w:pPr>
        <w:shd w:val="clear" w:color="auto" w:fill="FFFFFF"/>
        <w:spacing w:after="150" w:line="240" w:lineRule="auto"/>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1. Chi phí lập nhiệm vụ quy hoạch tính theo định mức tỷ lệ % tại Bảng số 11 - Phụ lục số 1 so với chi phí lập đồ án quy hoạch tương ứng.</w:t>
      </w:r>
    </w:p>
    <w:p w:rsidR="000F5297" w:rsidRPr="000F5297" w:rsidRDefault="000F5297" w:rsidP="000F5297">
      <w:pPr>
        <w:shd w:val="clear" w:color="auto" w:fill="FFFFFF"/>
        <w:spacing w:after="150" w:line="240" w:lineRule="auto"/>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2. Chi phí thẩm định nhiệm vụ quy hoạch được xác định bằng 20% so với chi phí lập nhiệm vụ quy hoạch.</w:t>
      </w:r>
    </w:p>
    <w:p w:rsidR="000F5297" w:rsidRPr="000F5297" w:rsidRDefault="000F5297" w:rsidP="000F5297">
      <w:pPr>
        <w:shd w:val="clear" w:color="auto" w:fill="FFFFFF"/>
        <w:spacing w:after="150" w:line="240" w:lineRule="auto"/>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Bảng số 11: Định mức chi phí cho một số công việc xác định theo tỷ lệ phần trăm của chi phí lập đồ án quy hoạch :</w:t>
      </w:r>
    </w:p>
    <w:tbl>
      <w:tblPr>
        <w:tblW w:w="792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525"/>
        <w:gridCol w:w="1530"/>
        <w:gridCol w:w="705"/>
        <w:gridCol w:w="570"/>
        <w:gridCol w:w="555"/>
        <w:gridCol w:w="750"/>
        <w:gridCol w:w="750"/>
        <w:gridCol w:w="750"/>
        <w:gridCol w:w="750"/>
        <w:gridCol w:w="1035"/>
      </w:tblGrid>
      <w:tr w:rsidR="000F5297" w:rsidRPr="000F5297" w:rsidTr="000F5297">
        <w:tc>
          <w:tcPr>
            <w:tcW w:w="52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TT</w:t>
            </w:r>
          </w:p>
        </w:tc>
        <w:tc>
          <w:tcPr>
            <w:tcW w:w="153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Chi phí lập đồ án (triệu đồng)</w:t>
            </w:r>
          </w:p>
        </w:tc>
        <w:tc>
          <w:tcPr>
            <w:tcW w:w="70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≤200</w:t>
            </w:r>
          </w:p>
        </w:tc>
        <w:tc>
          <w:tcPr>
            <w:tcW w:w="55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500</w:t>
            </w:r>
          </w:p>
        </w:tc>
        <w:tc>
          <w:tcPr>
            <w:tcW w:w="55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700</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1.000</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2.000</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5.000</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7.000</w:t>
            </w:r>
          </w:p>
        </w:tc>
        <w:tc>
          <w:tcPr>
            <w:tcW w:w="103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≥10.000</w:t>
            </w:r>
          </w:p>
        </w:tc>
      </w:tr>
      <w:tr w:rsidR="000F5297" w:rsidRPr="000F5297" w:rsidTr="000F5297">
        <w:tc>
          <w:tcPr>
            <w:tcW w:w="52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1</w:t>
            </w:r>
          </w:p>
        </w:tc>
        <w:tc>
          <w:tcPr>
            <w:tcW w:w="153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 xml:space="preserve">Lập nhiệm </w:t>
            </w:r>
            <w:r w:rsidRPr="000F5297">
              <w:rPr>
                <w:rFonts w:eastAsia="Times New Roman" w:cs="Times New Roman"/>
                <w:b/>
                <w:bCs/>
                <w:sz w:val="26"/>
                <w:szCs w:val="26"/>
              </w:rPr>
              <w:lastRenderedPageBreak/>
              <w:t>vụ (tỷ lệ%)</w:t>
            </w:r>
          </w:p>
        </w:tc>
        <w:tc>
          <w:tcPr>
            <w:tcW w:w="70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lastRenderedPageBreak/>
              <w:t>14,1</w:t>
            </w:r>
          </w:p>
        </w:tc>
        <w:tc>
          <w:tcPr>
            <w:tcW w:w="55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10,6</w:t>
            </w:r>
            <w:r w:rsidRPr="000F5297">
              <w:rPr>
                <w:rFonts w:eastAsia="Times New Roman" w:cs="Times New Roman"/>
                <w:sz w:val="24"/>
                <w:szCs w:val="24"/>
              </w:rPr>
              <w:br/>
            </w:r>
          </w:p>
        </w:tc>
        <w:tc>
          <w:tcPr>
            <w:tcW w:w="55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lastRenderedPageBreak/>
              <w:t>8,8</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7,9</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6,0</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4,1</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3,4</w:t>
            </w:r>
          </w:p>
        </w:tc>
        <w:tc>
          <w:tcPr>
            <w:tcW w:w="103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3,0</w:t>
            </w:r>
          </w:p>
        </w:tc>
      </w:tr>
      <w:tr w:rsidR="000F5297" w:rsidRPr="000F5297" w:rsidTr="000F5297">
        <w:tc>
          <w:tcPr>
            <w:tcW w:w="52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lastRenderedPageBreak/>
              <w:t>2</w:t>
            </w:r>
          </w:p>
        </w:tc>
        <w:tc>
          <w:tcPr>
            <w:tcW w:w="153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Thẩm định đồ án (tỷ lệ%)</w:t>
            </w:r>
          </w:p>
        </w:tc>
        <w:tc>
          <w:tcPr>
            <w:tcW w:w="70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12,3</w:t>
            </w:r>
          </w:p>
        </w:tc>
        <w:tc>
          <w:tcPr>
            <w:tcW w:w="55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9,7</w:t>
            </w:r>
          </w:p>
        </w:tc>
        <w:tc>
          <w:tcPr>
            <w:tcW w:w="55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8,4</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7,5</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5,5</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3,9</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3,2</w:t>
            </w:r>
          </w:p>
        </w:tc>
        <w:tc>
          <w:tcPr>
            <w:tcW w:w="103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2,8</w:t>
            </w:r>
          </w:p>
        </w:tc>
      </w:tr>
      <w:tr w:rsidR="000F5297" w:rsidRPr="000F5297" w:rsidTr="000F5297">
        <w:tc>
          <w:tcPr>
            <w:tcW w:w="52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3</w:t>
            </w:r>
          </w:p>
        </w:tc>
        <w:tc>
          <w:tcPr>
            <w:tcW w:w="153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b/>
                <w:bCs/>
                <w:sz w:val="26"/>
                <w:szCs w:val="26"/>
              </w:rPr>
              <w:t>Quản lý nghiệp vụ lập đồ án quy hoạch (tỷ lệ%)</w:t>
            </w:r>
          </w:p>
        </w:tc>
        <w:tc>
          <w:tcPr>
            <w:tcW w:w="70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10,6</w:t>
            </w:r>
          </w:p>
        </w:tc>
        <w:tc>
          <w:tcPr>
            <w:tcW w:w="55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8,8</w:t>
            </w:r>
          </w:p>
        </w:tc>
        <w:tc>
          <w:tcPr>
            <w:tcW w:w="55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7,9</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7,1</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5,1</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3,7</w:t>
            </w:r>
          </w:p>
        </w:tc>
        <w:tc>
          <w:tcPr>
            <w:tcW w:w="75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3,0</w:t>
            </w:r>
          </w:p>
        </w:tc>
        <w:tc>
          <w:tcPr>
            <w:tcW w:w="103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0F5297" w:rsidRPr="000F5297" w:rsidRDefault="000F5297" w:rsidP="000F5297">
            <w:pPr>
              <w:spacing w:after="0" w:line="240" w:lineRule="auto"/>
              <w:rPr>
                <w:rFonts w:eastAsia="Times New Roman" w:cs="Times New Roman"/>
                <w:sz w:val="24"/>
                <w:szCs w:val="24"/>
              </w:rPr>
            </w:pPr>
            <w:r w:rsidRPr="000F5297">
              <w:rPr>
                <w:rFonts w:eastAsia="Times New Roman" w:cs="Times New Roman"/>
                <w:sz w:val="24"/>
                <w:szCs w:val="24"/>
              </w:rPr>
              <w:t>2,6</w:t>
            </w:r>
          </w:p>
        </w:tc>
      </w:tr>
    </w:tbl>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color w:val="333333"/>
          <w:sz w:val="20"/>
          <w:szCs w:val="20"/>
        </w:rPr>
        <w:t>Ghi chú:</w:t>
      </w:r>
      <w:r w:rsidRPr="000F5297">
        <w:rPr>
          <w:rFonts w:ascii="Helvetica" w:eastAsia="Times New Roman" w:hAnsi="Helvetica" w:cs="Times New Roman"/>
          <w:color w:val="333333"/>
          <w:sz w:val="20"/>
          <w:szCs w:val="20"/>
        </w:rPr>
        <w:t> Chi phí thẩm định đồ án quy hoạch theo định mức chi phí quy định tại Bảng số 11 chưa bao gồm chi phí cho công việc khảo sát thực địa phục vụ việc thẩm định đồ án quy hoạch (nếu có). Trường hợp phải đi khảo sát thực địa phục vụ công tác thẩm định đồ án quy hoạch thì cơ quan quản lý nghiệp vụ lập quy hoạch lập dự toán để bổ sung chi phí thẩm định đồ án quy hoạch.</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color w:val="333333"/>
          <w:sz w:val="20"/>
          <w:szCs w:val="20"/>
        </w:rPr>
        <w:t>      Tên mẫu đơn, mẫu tờ khai:</w:t>
      </w:r>
      <w:r w:rsidRPr="000F5297">
        <w:rPr>
          <w:rFonts w:ascii="Helvetica" w:eastAsia="Times New Roman" w:hAnsi="Helvetica" w:cs="Times New Roman"/>
          <w:b/>
          <w:bCs/>
          <w:i/>
          <w:iCs/>
          <w:color w:val="333333"/>
          <w:sz w:val="20"/>
          <w:szCs w:val="20"/>
        </w:rPr>
        <w:t> </w:t>
      </w:r>
      <w:r w:rsidRPr="000F5297">
        <w:rPr>
          <w:rFonts w:ascii="Helvetica" w:eastAsia="Times New Roman" w:hAnsi="Helvetica" w:cs="Times New Roman"/>
          <w:color w:val="333333"/>
          <w:sz w:val="20"/>
          <w:szCs w:val="20"/>
        </w:rPr>
        <w:t>không có</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color w:val="333333"/>
          <w:sz w:val="20"/>
          <w:szCs w:val="20"/>
        </w:rPr>
        <w:t>      Yêu cầu, điều kiện thực hiện TTHC (nếu có): </w:t>
      </w:r>
      <w:r w:rsidRPr="000F5297">
        <w:rPr>
          <w:rFonts w:ascii="Helvetica" w:eastAsia="Times New Roman" w:hAnsi="Helvetica" w:cs="Times New Roman"/>
          <w:color w:val="333333"/>
          <w:sz w:val="20"/>
          <w:szCs w:val="20"/>
        </w:rPr>
        <w:t>không có.</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b/>
          <w:bCs/>
          <w:color w:val="333333"/>
          <w:sz w:val="20"/>
          <w:szCs w:val="20"/>
        </w:rPr>
        <w:t>      Căn cứ pháp lý của TTHC:</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Luật Quy hoạch đô thị số 30/20109/QH12 ngày 17/6/2009;</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Nghị định số 37/2010/NĐ-CP ngày 07/4/2010 của Chính phủ về lập, thẩm định, phê duyệt và quản lý quy hoạch đô thị;</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Luật Xây dựng số 50/2014/QH13 ngày 18/6/2014;</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Nghị định số 44/2015/NĐ-CP ngày 06/5/2015 của Chính phủ quy định chi tiết một số nội dung về quy hoạch xây dựng.</w:t>
      </w:r>
    </w:p>
    <w:p w:rsidR="000F5297" w:rsidRPr="000F5297" w:rsidRDefault="000F5297" w:rsidP="000F5297">
      <w:pPr>
        <w:shd w:val="clear" w:color="auto" w:fill="FFFFFF"/>
        <w:spacing w:after="150" w:line="240" w:lineRule="auto"/>
        <w:jc w:val="both"/>
        <w:rPr>
          <w:rFonts w:ascii="Helvetica" w:eastAsia="Times New Roman" w:hAnsi="Helvetica" w:cs="Times New Roman"/>
          <w:color w:val="333333"/>
          <w:sz w:val="20"/>
          <w:szCs w:val="20"/>
        </w:rPr>
      </w:pPr>
      <w:r w:rsidRPr="000F5297">
        <w:rPr>
          <w:rFonts w:ascii="Helvetica" w:eastAsia="Times New Roman" w:hAnsi="Helvetica" w:cs="Times New Roman"/>
          <w:color w:val="333333"/>
          <w:sz w:val="20"/>
          <w:szCs w:val="20"/>
        </w:rPr>
        <w:t>      - Thông tư số 05/2017/TT-BXD ngày 05 tháng 4 năm 2017 của Bộ Xây dựng hướng dẫn xác định quản lý, chi phí quy hoạch xây dưng và quy hoạch đô thị</w:t>
      </w:r>
    </w:p>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3B"/>
    <w:rsid w:val="000F5297"/>
    <w:rsid w:val="00174CFF"/>
    <w:rsid w:val="003E268A"/>
    <w:rsid w:val="00DE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529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F5297"/>
    <w:rPr>
      <w:b/>
      <w:bCs/>
    </w:rPr>
  </w:style>
  <w:style w:type="character" w:customStyle="1" w:styleId="ms-rtefontface-3">
    <w:name w:val="ms-rtefontface-3"/>
    <w:basedOn w:val="DefaultParagraphFont"/>
    <w:rsid w:val="000F5297"/>
  </w:style>
  <w:style w:type="character" w:styleId="Emphasis">
    <w:name w:val="Emphasis"/>
    <w:basedOn w:val="DefaultParagraphFont"/>
    <w:uiPriority w:val="20"/>
    <w:qFormat/>
    <w:rsid w:val="000F52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529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F5297"/>
    <w:rPr>
      <w:b/>
      <w:bCs/>
    </w:rPr>
  </w:style>
  <w:style w:type="character" w:customStyle="1" w:styleId="ms-rtefontface-3">
    <w:name w:val="ms-rtefontface-3"/>
    <w:basedOn w:val="DefaultParagraphFont"/>
    <w:rsid w:val="000F5297"/>
  </w:style>
  <w:style w:type="character" w:styleId="Emphasis">
    <w:name w:val="Emphasis"/>
    <w:basedOn w:val="DefaultParagraphFont"/>
    <w:uiPriority w:val="20"/>
    <w:qFormat/>
    <w:rsid w:val="000F52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963340">
      <w:bodyDiv w:val="1"/>
      <w:marLeft w:val="0"/>
      <w:marRight w:val="0"/>
      <w:marTop w:val="0"/>
      <w:marBottom w:val="0"/>
      <w:divBdr>
        <w:top w:val="none" w:sz="0" w:space="0" w:color="auto"/>
        <w:left w:val="none" w:sz="0" w:space="0" w:color="auto"/>
        <w:bottom w:val="none" w:sz="0" w:space="0" w:color="auto"/>
        <w:right w:val="none" w:sz="0" w:space="0" w:color="auto"/>
      </w:divBdr>
      <w:divsChild>
        <w:div w:id="1580552565">
          <w:marLeft w:val="0"/>
          <w:marRight w:val="0"/>
          <w:marTop w:val="0"/>
          <w:marBottom w:val="0"/>
          <w:divBdr>
            <w:top w:val="none" w:sz="0" w:space="0" w:color="auto"/>
            <w:left w:val="none" w:sz="0" w:space="0" w:color="auto"/>
            <w:bottom w:val="none" w:sz="0" w:space="0" w:color="auto"/>
            <w:right w:val="none" w:sz="0" w:space="0" w:color="auto"/>
          </w:divBdr>
          <w:divsChild>
            <w:div w:id="766652462">
              <w:marLeft w:val="0"/>
              <w:marRight w:val="0"/>
              <w:marTop w:val="0"/>
              <w:marBottom w:val="0"/>
              <w:divBdr>
                <w:top w:val="none" w:sz="0" w:space="0" w:color="auto"/>
                <w:left w:val="none" w:sz="0" w:space="0" w:color="auto"/>
                <w:bottom w:val="none" w:sz="0" w:space="0" w:color="auto"/>
                <w:right w:val="none" w:sz="0" w:space="0" w:color="auto"/>
              </w:divBdr>
            </w:div>
          </w:divsChild>
        </w:div>
        <w:div w:id="2122068170">
          <w:marLeft w:val="0"/>
          <w:marRight w:val="0"/>
          <w:marTop w:val="0"/>
          <w:marBottom w:val="0"/>
          <w:divBdr>
            <w:top w:val="none" w:sz="0" w:space="0" w:color="auto"/>
            <w:left w:val="none" w:sz="0" w:space="0" w:color="auto"/>
            <w:bottom w:val="none" w:sz="0" w:space="0" w:color="auto"/>
            <w:right w:val="none" w:sz="0" w:space="0" w:color="auto"/>
          </w:divBdr>
          <w:divsChild>
            <w:div w:id="1413506178">
              <w:marLeft w:val="0"/>
              <w:marRight w:val="0"/>
              <w:marTop w:val="0"/>
              <w:marBottom w:val="0"/>
              <w:divBdr>
                <w:top w:val="none" w:sz="0" w:space="0" w:color="auto"/>
                <w:left w:val="none" w:sz="0" w:space="0" w:color="auto"/>
                <w:bottom w:val="none" w:sz="0" w:space="0" w:color="auto"/>
                <w:right w:val="none" w:sz="0" w:space="0" w:color="auto"/>
              </w:divBdr>
              <w:divsChild>
                <w:div w:id="20386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37/2010/N%C4%90-CP%29:20&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2020-01-19T02:45:00Z</dcterms:created>
  <dcterms:modified xsi:type="dcterms:W3CDTF">2020-01-19T02:45:00Z</dcterms:modified>
</cp:coreProperties>
</file>