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5A" w:rsidRPr="007B075A" w:rsidRDefault="007B075A" w:rsidP="007B075A">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7B075A">
        <w:rPr>
          <w:rFonts w:ascii="Tahoma" w:eastAsia="Times New Roman" w:hAnsi="Tahoma" w:cs="Tahoma"/>
          <w:b/>
          <w:bCs/>
          <w:color w:val="000000"/>
          <w:sz w:val="25"/>
          <w:szCs w:val="25"/>
        </w:rPr>
        <w:t>Thủ tục Thẩm định và phê duyệt hồ sơ thiết kế, dự toán công trình lâm sinh (đối với dự án do UBND cấp huyện, UBND cấp xã)</w:t>
      </w:r>
    </w:p>
    <w:bookmarkEnd w:id="0"/>
    <w:tbl>
      <w:tblPr>
        <w:tblW w:w="10080"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8880"/>
      </w:tblGrid>
      <w:tr w:rsidR="007B075A" w:rsidRPr="007B075A" w:rsidTr="007B075A">
        <w:trPr>
          <w:gridAfter w:val="1"/>
          <w:wAfter w:w="8880" w:type="dxa"/>
        </w:trPr>
        <w:tc>
          <w:tcPr>
            <w:tcW w:w="0" w:type="auto"/>
            <w:shd w:val="clear" w:color="auto" w:fill="FFFFFF"/>
            <w:vAlign w:val="center"/>
            <w:hideMark/>
          </w:tcPr>
          <w:p w:rsidR="007B075A" w:rsidRPr="007B075A" w:rsidRDefault="007B075A" w:rsidP="007B075A">
            <w:pPr>
              <w:spacing w:after="0" w:line="240" w:lineRule="auto"/>
              <w:rPr>
                <w:rFonts w:eastAsia="Times New Roman" w:cs="Times New Roman"/>
                <w:sz w:val="24"/>
                <w:szCs w:val="24"/>
              </w:rPr>
            </w:pPr>
          </w:p>
        </w:tc>
      </w:tr>
      <w:tr w:rsidR="007B075A" w:rsidRPr="007B075A" w:rsidTr="007B075A">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075A" w:rsidRPr="007B075A" w:rsidRDefault="007B075A" w:rsidP="007B075A">
            <w:pPr>
              <w:spacing w:after="0" w:line="240" w:lineRule="auto"/>
              <w:rPr>
                <w:rFonts w:eastAsia="Times New Roman" w:cs="Times New Roman"/>
                <w:sz w:val="24"/>
                <w:szCs w:val="24"/>
              </w:rPr>
            </w:pPr>
            <w:r w:rsidRPr="007B075A">
              <w:rPr>
                <w:rFonts w:eastAsia="Times New Roman" w:cs="Times New Roman"/>
                <w:sz w:val="24"/>
                <w:szCs w:val="24"/>
              </w:rPr>
              <w:t>Thẩm quyền giải quyết</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075A" w:rsidRPr="007B075A" w:rsidRDefault="007B075A" w:rsidP="007B075A">
            <w:pPr>
              <w:spacing w:after="0" w:line="240" w:lineRule="auto"/>
              <w:rPr>
                <w:rFonts w:eastAsia="Times New Roman" w:cs="Times New Roman"/>
                <w:sz w:val="24"/>
                <w:szCs w:val="24"/>
              </w:rPr>
            </w:pPr>
            <w:r w:rsidRPr="007B075A">
              <w:rPr>
                <w:rFonts w:eastAsia="Times New Roman" w:cs="Times New Roman"/>
                <w:sz w:val="24"/>
                <w:szCs w:val="24"/>
              </w:rPr>
              <w:t>Ủy ban nhân dân huyện, thị xã, thành phố tỉnh</w:t>
            </w:r>
          </w:p>
        </w:tc>
      </w:tr>
      <w:tr w:rsidR="007B075A" w:rsidRPr="007B075A" w:rsidTr="007B075A">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075A" w:rsidRPr="007B075A" w:rsidRDefault="007B075A" w:rsidP="007B075A">
            <w:pPr>
              <w:spacing w:after="0" w:line="240" w:lineRule="auto"/>
              <w:rPr>
                <w:rFonts w:eastAsia="Times New Roman" w:cs="Times New Roman"/>
                <w:sz w:val="24"/>
                <w:szCs w:val="24"/>
              </w:rPr>
            </w:pPr>
            <w:r w:rsidRPr="007B075A">
              <w:rPr>
                <w:rFonts w:eastAsia="Times New Roman" w:cs="Times New Roman"/>
                <w:sz w:val="24"/>
                <w:szCs w:val="24"/>
              </w:rPr>
              <w:t>Lĩnh vực</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075A" w:rsidRPr="007B075A" w:rsidRDefault="007B075A" w:rsidP="007B075A">
            <w:pPr>
              <w:spacing w:after="0" w:line="240" w:lineRule="auto"/>
              <w:rPr>
                <w:rFonts w:eastAsia="Times New Roman" w:cs="Times New Roman"/>
                <w:sz w:val="24"/>
                <w:szCs w:val="24"/>
              </w:rPr>
            </w:pPr>
            <w:r w:rsidRPr="007B075A">
              <w:rPr>
                <w:rFonts w:eastAsia="Times New Roman" w:cs="Times New Roman"/>
                <w:sz w:val="24"/>
                <w:szCs w:val="24"/>
              </w:rPr>
              <w:t>Lĩnh vực lâm nghiệp</w:t>
            </w:r>
          </w:p>
        </w:tc>
      </w:tr>
      <w:tr w:rsidR="007B075A" w:rsidRPr="007B075A" w:rsidTr="007B075A">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075A" w:rsidRPr="007B075A" w:rsidRDefault="007B075A" w:rsidP="007B075A">
            <w:pPr>
              <w:spacing w:after="0" w:line="240" w:lineRule="auto"/>
              <w:rPr>
                <w:rFonts w:eastAsia="Times New Roman" w:cs="Times New Roman"/>
                <w:sz w:val="24"/>
                <w:szCs w:val="24"/>
              </w:rPr>
            </w:pPr>
            <w:r w:rsidRPr="007B075A">
              <w:rPr>
                <w:rFonts w:eastAsia="Times New Roman" w:cs="Times New Roman"/>
                <w:sz w:val="24"/>
                <w:szCs w:val="24"/>
              </w:rPr>
              <w:t>Cách thức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075A" w:rsidRPr="007B075A" w:rsidRDefault="007B075A" w:rsidP="007B075A">
            <w:pPr>
              <w:spacing w:after="0" w:line="240" w:lineRule="auto"/>
              <w:rPr>
                <w:rFonts w:eastAsia="Times New Roman" w:cs="Times New Roman"/>
                <w:sz w:val="24"/>
                <w:szCs w:val="24"/>
              </w:rPr>
            </w:pPr>
            <w:r w:rsidRPr="007B075A">
              <w:rPr>
                <w:rFonts w:eastAsia="Times New Roman" w:cs="Times New Roman"/>
                <w:sz w:val="24"/>
                <w:szCs w:val="24"/>
              </w:rPr>
              <w:t>Hồ sơ nộp trực tiếp hoặc qua đường bưu điện.</w:t>
            </w:r>
          </w:p>
        </w:tc>
      </w:tr>
      <w:tr w:rsidR="007B075A" w:rsidRPr="007B075A" w:rsidTr="007B075A">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075A" w:rsidRPr="007B075A" w:rsidRDefault="007B075A" w:rsidP="007B075A">
            <w:pPr>
              <w:spacing w:after="0" w:line="240" w:lineRule="auto"/>
              <w:rPr>
                <w:rFonts w:eastAsia="Times New Roman" w:cs="Times New Roman"/>
                <w:sz w:val="24"/>
                <w:szCs w:val="24"/>
              </w:rPr>
            </w:pPr>
            <w:r w:rsidRPr="007B075A">
              <w:rPr>
                <w:rFonts w:eastAsia="Times New Roman" w:cs="Times New Roman"/>
                <w:sz w:val="24"/>
                <w:szCs w:val="24"/>
              </w:rPr>
              <w:t>Trình tự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075A" w:rsidRPr="007B075A" w:rsidRDefault="007B075A" w:rsidP="007B075A">
            <w:pPr>
              <w:spacing w:after="0" w:line="240" w:lineRule="auto"/>
              <w:rPr>
                <w:rFonts w:eastAsia="Times New Roman" w:cs="Times New Roman"/>
                <w:sz w:val="24"/>
                <w:szCs w:val="24"/>
              </w:rPr>
            </w:pPr>
            <w:r w:rsidRPr="007B075A">
              <w:rPr>
                <w:rFonts w:eastAsia="Times New Roman" w:cs="Times New Roman"/>
                <w:b/>
                <w:bCs/>
                <w:sz w:val="24"/>
                <w:szCs w:val="24"/>
              </w:rPr>
              <w:t>Bước 1:</w:t>
            </w:r>
            <w:r w:rsidRPr="007B075A">
              <w:rPr>
                <w:rFonts w:eastAsia="Times New Roman" w:cs="Times New Roman"/>
                <w:sz w:val="24"/>
                <w:szCs w:val="24"/>
              </w:rPr>
              <w:t> Chủ đầu tư có nhu cầu thẩm định, phê duyệt hồ sơ thiết kế, dự toán công trình lâm sinh chuẩn bị hồ sơ đầy đủ theo quy định. Nộp hồ sơ trực tiếp tại Bộ phận tiếp nhận và trả kết quả của Uỷ ban nhân dân cấp huyện hoặc gửi theo đường bưu điện.</w:t>
            </w:r>
            <w:r w:rsidRPr="007B075A">
              <w:rPr>
                <w:rFonts w:eastAsia="Times New Roman" w:cs="Times New Roman"/>
                <w:sz w:val="24"/>
                <w:szCs w:val="24"/>
              </w:rPr>
              <w:br/>
            </w:r>
            <w:r w:rsidRPr="007B075A">
              <w:rPr>
                <w:rFonts w:eastAsia="Times New Roman" w:cs="Times New Roman"/>
                <w:b/>
                <w:bCs/>
                <w:sz w:val="24"/>
                <w:szCs w:val="24"/>
              </w:rPr>
              <w:t>Bước 2:</w:t>
            </w:r>
            <w:r w:rsidRPr="007B075A">
              <w:rPr>
                <w:rFonts w:eastAsia="Times New Roman" w:cs="Times New Roman"/>
                <w:sz w:val="24"/>
                <w:szCs w:val="24"/>
              </w:rPr>
              <w:t> Công chức tại Bộ phận tiếp nhận và trả kết quả kiểm tra hồ sơ:    </w:t>
            </w:r>
            <w:r w:rsidRPr="007B075A">
              <w:rPr>
                <w:rFonts w:eastAsia="Times New Roman" w:cs="Times New Roman"/>
                <w:sz w:val="24"/>
                <w:szCs w:val="24"/>
              </w:rPr>
              <w:br/>
              <w:t>- Trường hợp hồ sơ đã đầy đủ, hợp lệ thì viết giấy hẹn trao cho người nộp hoặc vào sổ công văn đến (nếu gửi qua đường bưu điện).</w:t>
            </w:r>
            <w:r w:rsidRPr="007B075A">
              <w:rPr>
                <w:rFonts w:eastAsia="Times New Roman" w:cs="Times New Roman"/>
                <w:sz w:val="24"/>
                <w:szCs w:val="24"/>
              </w:rPr>
              <w:br/>
              <w:t>- Trường hợp hồ sơ thiếu hoặc không hợp lệ thì công chức tiếp nhận hồ sơ hướng dẫn người đến nộp hồ sơ hoặc gọi điện cho tổ chức, cá nhân (nếu gửi qua đường bưu điện) bổ sung hồ sơ đầy đủ hợp lệ.</w:t>
            </w:r>
            <w:r w:rsidRPr="007B075A">
              <w:rPr>
                <w:rFonts w:eastAsia="Times New Roman" w:cs="Times New Roman"/>
                <w:sz w:val="24"/>
                <w:szCs w:val="24"/>
              </w:rPr>
              <w:br/>
            </w:r>
            <w:r w:rsidRPr="007B075A">
              <w:rPr>
                <w:rFonts w:eastAsia="Times New Roman" w:cs="Times New Roman"/>
                <w:b/>
                <w:bCs/>
                <w:sz w:val="24"/>
                <w:szCs w:val="24"/>
              </w:rPr>
              <w:t>Bước 3:</w:t>
            </w:r>
            <w:r w:rsidRPr="007B075A">
              <w:rPr>
                <w:rFonts w:eastAsia="Times New Roman" w:cs="Times New Roman"/>
                <w:sz w:val="24"/>
                <w:szCs w:val="24"/>
              </w:rPr>
              <w:t> Thẩm định, phê duyệt Hồ sơ thiết kế, dự toán công trình lâm sinh</w:t>
            </w:r>
            <w:r w:rsidRPr="007B075A">
              <w:rPr>
                <w:rFonts w:eastAsia="Times New Roman" w:cs="Times New Roman"/>
                <w:sz w:val="24"/>
                <w:szCs w:val="24"/>
              </w:rPr>
              <w:br/>
              <w:t>Sau khi kiểm tra, hội đồng thẩm định tổ chức thẩm định và có báo cáo kết quả thẩm định trình Uỷ ban nhân dân cấp huyện ra Quyết định phê duyệt hồ sơ thiết kế dự toán công trình lâm sinh.</w:t>
            </w:r>
            <w:r w:rsidRPr="007B075A">
              <w:rPr>
                <w:rFonts w:eastAsia="Times New Roman" w:cs="Times New Roman"/>
                <w:sz w:val="24"/>
                <w:szCs w:val="24"/>
              </w:rPr>
              <w:br/>
            </w:r>
            <w:r w:rsidRPr="007B075A">
              <w:rPr>
                <w:rFonts w:eastAsia="Times New Roman" w:cs="Times New Roman"/>
                <w:b/>
                <w:bCs/>
                <w:sz w:val="24"/>
                <w:szCs w:val="24"/>
              </w:rPr>
              <w:t>Bước 4:</w:t>
            </w:r>
            <w:r w:rsidRPr="007B075A">
              <w:rPr>
                <w:rFonts w:eastAsia="Times New Roman" w:cs="Times New Roman"/>
                <w:sz w:val="24"/>
                <w:szCs w:val="24"/>
              </w:rPr>
              <w:t> Tổ chức nhận kết quả tại Bộ phận tiếp nhận và trả kết quả của Uỷ ban nhân dân cấp huyện</w:t>
            </w:r>
            <w:r w:rsidRPr="007B075A">
              <w:rPr>
                <w:rFonts w:eastAsia="Times New Roman" w:cs="Times New Roman"/>
                <w:sz w:val="24"/>
                <w:szCs w:val="24"/>
              </w:rPr>
              <w:br/>
              <w:t>Thời gian tiếp nhận hồ sơ và trả kết quả: Buổi sáng từ 7 giờ 00 đến 11 giờ, buổi chiều từ 13h giờ đến 17 giờ 00 từ thứ 2 đến thứ 6 (trừ các ngày nghỉ, ngày lễ).</w:t>
            </w:r>
          </w:p>
        </w:tc>
      </w:tr>
      <w:tr w:rsidR="007B075A" w:rsidRPr="007B075A" w:rsidTr="007B075A">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075A" w:rsidRPr="007B075A" w:rsidRDefault="007B075A" w:rsidP="007B075A">
            <w:pPr>
              <w:spacing w:after="0" w:line="240" w:lineRule="auto"/>
              <w:rPr>
                <w:rFonts w:eastAsia="Times New Roman" w:cs="Times New Roman"/>
                <w:sz w:val="24"/>
                <w:szCs w:val="24"/>
              </w:rPr>
            </w:pPr>
            <w:r w:rsidRPr="007B075A">
              <w:rPr>
                <w:rFonts w:eastAsia="Times New Roman" w:cs="Times New Roman"/>
                <w:sz w:val="24"/>
                <w:szCs w:val="24"/>
              </w:rPr>
              <w:t>Thành phần hồ sơ</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075A" w:rsidRPr="007B075A" w:rsidRDefault="007B075A" w:rsidP="007B075A">
            <w:pPr>
              <w:spacing w:after="0" w:line="240" w:lineRule="auto"/>
              <w:rPr>
                <w:rFonts w:eastAsia="Times New Roman" w:cs="Times New Roman"/>
                <w:sz w:val="24"/>
                <w:szCs w:val="24"/>
              </w:rPr>
            </w:pPr>
            <w:r w:rsidRPr="007B075A">
              <w:rPr>
                <w:rFonts w:eastAsia="Times New Roman" w:cs="Times New Roman"/>
                <w:sz w:val="24"/>
                <w:szCs w:val="24"/>
              </w:rPr>
              <w:t>- Thành phần:</w:t>
            </w:r>
            <w:r w:rsidRPr="007B075A">
              <w:rPr>
                <w:rFonts w:eastAsia="Times New Roman" w:cs="Times New Roman"/>
                <w:sz w:val="24"/>
                <w:szCs w:val="24"/>
              </w:rPr>
              <w:br/>
              <w:t>+ Tờ trình đề nghị thẩm định, phê duyệt Hồ sơ thiết kế, dự toán công trình lâm sinh (theo mẫu, bản chính);</w:t>
            </w:r>
            <w:r w:rsidRPr="007B075A">
              <w:rPr>
                <w:rFonts w:eastAsia="Times New Roman" w:cs="Times New Roman"/>
                <w:sz w:val="24"/>
                <w:szCs w:val="24"/>
              </w:rPr>
              <w:br/>
              <w:t>+ Thuyết minh thiết kế, dự toán công trình lâm sinh, có ký tên, đóng dấu của chủ đầu tư và đơn vị tư vấn khảo sát, lập hồ sơ thiết kế, dự toán; bản chính);</w:t>
            </w:r>
            <w:r w:rsidRPr="007B075A">
              <w:rPr>
                <w:rFonts w:eastAsia="Times New Roman" w:cs="Times New Roman"/>
                <w:sz w:val="24"/>
                <w:szCs w:val="24"/>
              </w:rPr>
              <w:br/>
              <w:t>+ Bản đồ hiện trạng sử dụng đất (bản sao hợp pháp); bản đồ thiết kế công trình lâm sinh (bản chính);</w:t>
            </w:r>
            <w:r w:rsidRPr="007B075A">
              <w:rPr>
                <w:rFonts w:eastAsia="Times New Roman" w:cs="Times New Roman"/>
                <w:sz w:val="24"/>
                <w:szCs w:val="24"/>
              </w:rPr>
              <w:br/>
              <w:t>+ Biên bản nghiệm thu ngoại nghiệp giữa Chủ đầu tư với đơn vị tư vấn khảo sát, lập hồ sơ thiết kế, dự toán (bản chính);</w:t>
            </w:r>
            <w:r w:rsidRPr="007B075A">
              <w:rPr>
                <w:rFonts w:eastAsia="Times New Roman" w:cs="Times New Roman"/>
                <w:sz w:val="24"/>
                <w:szCs w:val="24"/>
              </w:rPr>
              <w:br/>
              <w:t>+ Biên bản nghiệm thu nội nghiệp giữa Chủ đầu tư với đơn vị tư vấn khảo sát, lập hồ sơ thiết kế, dự toán (bản chính);</w:t>
            </w:r>
            <w:r w:rsidRPr="007B075A">
              <w:rPr>
                <w:rFonts w:eastAsia="Times New Roman" w:cs="Times New Roman"/>
                <w:sz w:val="24"/>
                <w:szCs w:val="24"/>
              </w:rPr>
              <w:br/>
              <w:t>+ Quyết định phê duyệt dự án đầu tư và các tài liệu có liên quan (đề cương kỹ thuật và dự toán cho lập hồ sơ (nếu có), chứng nhận quyền sử dụng đất (bản sao chứng thực) hoặc chủ trương cho phép sử dụng đất của cấp có thẩm quyền, quy hoạch phát triển lâm nghiệp).</w:t>
            </w:r>
            <w:r w:rsidRPr="007B075A">
              <w:rPr>
                <w:rFonts w:eastAsia="Times New Roman" w:cs="Times New Roman"/>
                <w:sz w:val="24"/>
                <w:szCs w:val="24"/>
              </w:rPr>
              <w:br/>
              <w:t>- Số lượng hồ sơ: 05 bộ (01 bản chính, 04 bản sao chụp).</w:t>
            </w:r>
          </w:p>
        </w:tc>
      </w:tr>
      <w:tr w:rsidR="007B075A" w:rsidRPr="007B075A" w:rsidTr="007B075A">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075A" w:rsidRPr="007B075A" w:rsidRDefault="007B075A" w:rsidP="007B075A">
            <w:pPr>
              <w:spacing w:after="0" w:line="240" w:lineRule="auto"/>
              <w:rPr>
                <w:rFonts w:eastAsia="Times New Roman" w:cs="Times New Roman"/>
                <w:sz w:val="24"/>
                <w:szCs w:val="24"/>
              </w:rPr>
            </w:pPr>
            <w:r w:rsidRPr="007B075A">
              <w:rPr>
                <w:rFonts w:eastAsia="Times New Roman" w:cs="Times New Roman"/>
                <w:sz w:val="24"/>
                <w:szCs w:val="24"/>
              </w:rPr>
              <w:t>Thời hạn giải quyết</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075A" w:rsidRPr="007B075A" w:rsidRDefault="007B075A" w:rsidP="007B075A">
            <w:pPr>
              <w:spacing w:after="0" w:line="240" w:lineRule="auto"/>
              <w:rPr>
                <w:rFonts w:eastAsia="Times New Roman" w:cs="Times New Roman"/>
                <w:sz w:val="24"/>
                <w:szCs w:val="24"/>
              </w:rPr>
            </w:pPr>
            <w:r w:rsidRPr="007B075A">
              <w:rPr>
                <w:rFonts w:eastAsia="Times New Roman" w:cs="Times New Roman"/>
                <w:sz w:val="24"/>
                <w:szCs w:val="24"/>
              </w:rPr>
              <w:t>18 ngày làm việc.  </w:t>
            </w:r>
          </w:p>
        </w:tc>
      </w:tr>
      <w:tr w:rsidR="007B075A" w:rsidRPr="007B075A" w:rsidTr="007B075A">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075A" w:rsidRPr="007B075A" w:rsidRDefault="007B075A" w:rsidP="007B075A">
            <w:pPr>
              <w:spacing w:after="0" w:line="240" w:lineRule="auto"/>
              <w:rPr>
                <w:rFonts w:eastAsia="Times New Roman" w:cs="Times New Roman"/>
                <w:sz w:val="24"/>
                <w:szCs w:val="24"/>
              </w:rPr>
            </w:pPr>
            <w:r w:rsidRPr="007B075A">
              <w:rPr>
                <w:rFonts w:eastAsia="Times New Roman" w:cs="Times New Roman"/>
                <w:sz w:val="24"/>
                <w:szCs w:val="24"/>
              </w:rPr>
              <w:lastRenderedPageBreak/>
              <w:t>Lệ phí</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075A" w:rsidRPr="007B075A" w:rsidRDefault="007B075A" w:rsidP="007B075A">
            <w:pPr>
              <w:spacing w:after="0" w:line="240" w:lineRule="auto"/>
              <w:rPr>
                <w:rFonts w:eastAsia="Times New Roman" w:cs="Times New Roman"/>
                <w:sz w:val="24"/>
                <w:szCs w:val="24"/>
              </w:rPr>
            </w:pPr>
            <w:r w:rsidRPr="007B075A">
              <w:rPr>
                <w:rFonts w:eastAsia="Times New Roman" w:cs="Times New Roman"/>
                <w:sz w:val="24"/>
                <w:szCs w:val="24"/>
              </w:rPr>
              <w:t>Không</w:t>
            </w:r>
          </w:p>
        </w:tc>
      </w:tr>
      <w:tr w:rsidR="007B075A" w:rsidRPr="007B075A" w:rsidTr="007B075A">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075A" w:rsidRPr="007B075A" w:rsidRDefault="007B075A" w:rsidP="007B075A">
            <w:pPr>
              <w:spacing w:after="0" w:line="240" w:lineRule="auto"/>
              <w:rPr>
                <w:rFonts w:eastAsia="Times New Roman" w:cs="Times New Roman"/>
                <w:sz w:val="24"/>
                <w:szCs w:val="24"/>
              </w:rPr>
            </w:pPr>
            <w:r w:rsidRPr="007B075A">
              <w:rPr>
                <w:rFonts w:eastAsia="Times New Roman" w:cs="Times New Roman"/>
                <w:sz w:val="24"/>
                <w:szCs w:val="24"/>
              </w:rPr>
              <w:t>Kết quả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075A" w:rsidRPr="007B075A" w:rsidRDefault="007B075A" w:rsidP="007B075A">
            <w:pPr>
              <w:spacing w:after="0" w:line="240" w:lineRule="auto"/>
              <w:rPr>
                <w:rFonts w:eastAsia="Times New Roman" w:cs="Times New Roman"/>
                <w:sz w:val="24"/>
                <w:szCs w:val="24"/>
              </w:rPr>
            </w:pPr>
            <w:r w:rsidRPr="007B075A">
              <w:rPr>
                <w:rFonts w:eastAsia="Times New Roman" w:cs="Times New Roman"/>
                <w:sz w:val="24"/>
                <w:szCs w:val="24"/>
              </w:rPr>
              <w:t>Quyết định hành chính</w:t>
            </w:r>
          </w:p>
        </w:tc>
      </w:tr>
      <w:tr w:rsidR="007B075A" w:rsidRPr="007B075A" w:rsidTr="007B075A">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075A" w:rsidRPr="007B075A" w:rsidRDefault="007B075A" w:rsidP="007B075A">
            <w:pPr>
              <w:spacing w:after="0" w:line="240" w:lineRule="auto"/>
              <w:rPr>
                <w:rFonts w:eastAsia="Times New Roman" w:cs="Times New Roman"/>
                <w:sz w:val="24"/>
                <w:szCs w:val="24"/>
              </w:rPr>
            </w:pPr>
            <w:r w:rsidRPr="007B075A">
              <w:rPr>
                <w:rFonts w:eastAsia="Times New Roman" w:cs="Times New Roman"/>
                <w:sz w:val="24"/>
                <w:szCs w:val="24"/>
              </w:rPr>
              <w:t>Cơ quan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075A" w:rsidRPr="007B075A" w:rsidRDefault="007B075A" w:rsidP="007B075A">
            <w:pPr>
              <w:spacing w:after="0" w:line="240" w:lineRule="auto"/>
              <w:rPr>
                <w:rFonts w:eastAsia="Times New Roman" w:cs="Times New Roman"/>
                <w:sz w:val="24"/>
                <w:szCs w:val="24"/>
              </w:rPr>
            </w:pPr>
            <w:r w:rsidRPr="007B075A">
              <w:rPr>
                <w:rFonts w:eastAsia="Times New Roman" w:cs="Times New Roman"/>
                <w:b/>
                <w:bCs/>
                <w:sz w:val="24"/>
                <w:szCs w:val="24"/>
              </w:rPr>
              <w:t>-</w:t>
            </w:r>
            <w:r w:rsidRPr="007B075A">
              <w:rPr>
                <w:rFonts w:eastAsia="Times New Roman" w:cs="Times New Roman"/>
                <w:sz w:val="24"/>
                <w:szCs w:val="24"/>
              </w:rPr>
              <w:t> Cơ quan có thẩm quyền Quyết định: Uỷ ban nhân dân cấp huyện</w:t>
            </w:r>
            <w:r w:rsidRPr="007B075A">
              <w:rPr>
                <w:rFonts w:eastAsia="Times New Roman" w:cs="Times New Roman"/>
                <w:sz w:val="24"/>
                <w:szCs w:val="24"/>
              </w:rPr>
              <w:br/>
              <w:t>- Cơ quan trực tiếp thực hiện TTHC: Phòng có chức năng ở cấp huyện chủ trì thâm định, thiết kế.</w:t>
            </w:r>
          </w:p>
        </w:tc>
      </w:tr>
      <w:tr w:rsidR="007B075A" w:rsidRPr="007B075A" w:rsidTr="007B075A">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075A" w:rsidRPr="007B075A" w:rsidRDefault="007B075A" w:rsidP="007B075A">
            <w:pPr>
              <w:spacing w:after="0" w:line="240" w:lineRule="auto"/>
              <w:rPr>
                <w:rFonts w:eastAsia="Times New Roman" w:cs="Times New Roman"/>
                <w:sz w:val="24"/>
                <w:szCs w:val="24"/>
              </w:rPr>
            </w:pPr>
            <w:r w:rsidRPr="007B075A">
              <w:rPr>
                <w:rFonts w:eastAsia="Times New Roman" w:cs="Times New Roman"/>
                <w:sz w:val="24"/>
                <w:szCs w:val="24"/>
              </w:rPr>
              <w:t>Đối tượng thực hiện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075A" w:rsidRPr="007B075A" w:rsidRDefault="007B075A" w:rsidP="007B075A">
            <w:pPr>
              <w:spacing w:after="0" w:line="240" w:lineRule="auto"/>
              <w:rPr>
                <w:rFonts w:eastAsia="Times New Roman" w:cs="Times New Roman"/>
                <w:sz w:val="24"/>
                <w:szCs w:val="24"/>
              </w:rPr>
            </w:pPr>
            <w:r w:rsidRPr="007B075A">
              <w:rPr>
                <w:rFonts w:eastAsia="Times New Roman" w:cs="Times New Roman"/>
                <w:sz w:val="24"/>
                <w:szCs w:val="24"/>
              </w:rPr>
              <w:t>Chủ đầu tư</w:t>
            </w:r>
          </w:p>
        </w:tc>
      </w:tr>
      <w:tr w:rsidR="007B075A" w:rsidRPr="007B075A" w:rsidTr="007B075A">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075A" w:rsidRPr="007B075A" w:rsidRDefault="007B075A" w:rsidP="007B075A">
            <w:pPr>
              <w:spacing w:after="0" w:line="240" w:lineRule="auto"/>
              <w:rPr>
                <w:rFonts w:eastAsia="Times New Roman" w:cs="Times New Roman"/>
                <w:sz w:val="24"/>
                <w:szCs w:val="24"/>
              </w:rPr>
            </w:pPr>
            <w:r w:rsidRPr="007B075A">
              <w:rPr>
                <w:rFonts w:eastAsia="Times New Roman" w:cs="Times New Roman"/>
                <w:sz w:val="24"/>
                <w:szCs w:val="24"/>
              </w:rPr>
              <w:t>Yêu cầu hoặc điều kiện</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075A" w:rsidRPr="007B075A" w:rsidRDefault="007B075A" w:rsidP="007B075A">
            <w:pPr>
              <w:spacing w:after="0" w:line="240" w:lineRule="auto"/>
              <w:rPr>
                <w:rFonts w:eastAsia="Times New Roman" w:cs="Times New Roman"/>
                <w:sz w:val="24"/>
                <w:szCs w:val="24"/>
              </w:rPr>
            </w:pPr>
            <w:r w:rsidRPr="007B075A">
              <w:rPr>
                <w:rFonts w:eastAsia="Times New Roman" w:cs="Times New Roman"/>
                <w:sz w:val="24"/>
                <w:szCs w:val="24"/>
              </w:rPr>
              <w:t>Không</w:t>
            </w:r>
          </w:p>
        </w:tc>
      </w:tr>
      <w:tr w:rsidR="007B075A" w:rsidRPr="007B075A" w:rsidTr="007B075A">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075A" w:rsidRPr="007B075A" w:rsidRDefault="007B075A" w:rsidP="007B075A">
            <w:pPr>
              <w:spacing w:after="0" w:line="240" w:lineRule="auto"/>
              <w:rPr>
                <w:rFonts w:eastAsia="Times New Roman" w:cs="Times New Roman"/>
                <w:sz w:val="24"/>
                <w:szCs w:val="24"/>
              </w:rPr>
            </w:pPr>
            <w:r w:rsidRPr="007B075A">
              <w:rPr>
                <w:rFonts w:eastAsia="Times New Roman" w:cs="Times New Roman"/>
                <w:sz w:val="24"/>
                <w:szCs w:val="24"/>
              </w:rPr>
              <w:t>Căn cứ pháp lý</w:t>
            </w:r>
          </w:p>
        </w:tc>
        <w:tc>
          <w:tcPr>
            <w:tcW w:w="888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075A" w:rsidRPr="007B075A" w:rsidRDefault="007B075A" w:rsidP="007B075A">
            <w:pPr>
              <w:spacing w:after="0" w:line="240" w:lineRule="auto"/>
              <w:rPr>
                <w:rFonts w:eastAsia="Times New Roman" w:cs="Times New Roman"/>
                <w:sz w:val="24"/>
                <w:szCs w:val="24"/>
              </w:rPr>
            </w:pPr>
            <w:r w:rsidRPr="007B075A">
              <w:rPr>
                <w:rFonts w:eastAsia="Times New Roman" w:cs="Times New Roman"/>
                <w:sz w:val="24"/>
                <w:szCs w:val="24"/>
              </w:rPr>
              <w:t>- Quyết định số 5246/QĐ/BNN-LN ngày 26/11/2003 của Bộ NN&amp;PTNT.</w:t>
            </w:r>
            <w:r w:rsidRPr="007B075A">
              <w:rPr>
                <w:rFonts w:eastAsia="Times New Roman" w:cs="Times New Roman"/>
                <w:sz w:val="24"/>
                <w:szCs w:val="24"/>
              </w:rPr>
              <w:br/>
              <w:t>- Thông tư liên tịch số 58/2008/TTLT-BNN-KHĐT-BTC ngày 02/5/2008 của Bộ Nông nghiệp và PTNT- Bộ Kế hoạch và Đầu tư và Bộ Tài chính.</w:t>
            </w:r>
            <w:r w:rsidRPr="007B075A">
              <w:rPr>
                <w:rFonts w:eastAsia="Times New Roman" w:cs="Times New Roman"/>
                <w:sz w:val="24"/>
                <w:szCs w:val="24"/>
              </w:rPr>
              <w:br/>
              <w:t>- Quyết định số 73/2010/QĐ-TTg ngày 26/11/2010 của Thủ tướng Chính phủ Ban hành quy chế đầu tư xây dựng công trình lâm sinh.</w:t>
            </w:r>
            <w:r w:rsidRPr="007B075A">
              <w:rPr>
                <w:rFonts w:eastAsia="Times New Roman" w:cs="Times New Roman"/>
                <w:sz w:val="24"/>
                <w:szCs w:val="24"/>
              </w:rPr>
              <w:br/>
              <w:t>- Thông tư số 23/2016/TT-BNNPTNT ngày 30/6/2016 của Bộ Nông nghiệp và Phát triển nông thôn về việc hướng dẫn một số nội dung quản lý công trình lâm sinh.</w:t>
            </w:r>
          </w:p>
        </w:tc>
      </w:tr>
    </w:tbl>
    <w:p w:rsidR="003E268A" w:rsidRDefault="007B075A">
      <w:r w:rsidRPr="007B075A">
        <w:rPr>
          <w:rFonts w:ascii="Tahoma" w:eastAsia="Times New Roman" w:hAnsi="Tahoma" w:cs="Tahoma"/>
          <w:color w:val="4D4D4D"/>
          <w:sz w:val="24"/>
          <w:szCs w:val="24"/>
          <w:shd w:val="clear" w:color="auto" w:fill="FFFFFF"/>
        </w:rPr>
        <w:t>* Mẫu đơn, mẫu tờ khai:</w:t>
      </w:r>
      <w:r w:rsidRPr="007B075A">
        <w:rPr>
          <w:rFonts w:ascii="Tahoma" w:eastAsia="Times New Roman" w:hAnsi="Tahoma" w:cs="Tahoma"/>
          <w:color w:val="4D4D4D"/>
          <w:sz w:val="24"/>
          <w:szCs w:val="24"/>
        </w:rPr>
        <w:br/>
      </w:r>
      <w:r w:rsidRPr="007B075A">
        <w:rPr>
          <w:rFonts w:ascii="Tahoma" w:eastAsia="Times New Roman" w:hAnsi="Tahoma" w:cs="Tahoma"/>
          <w:color w:val="4D4D4D"/>
          <w:sz w:val="24"/>
          <w:szCs w:val="24"/>
          <w:shd w:val="clear" w:color="auto" w:fill="FFFFFF"/>
        </w:rPr>
        <w:t>- </w:t>
      </w:r>
      <w:hyperlink r:id="rId5" w:tgtFrame="_blank" w:history="1">
        <w:r w:rsidRPr="007B075A">
          <w:rPr>
            <w:rFonts w:ascii="Tahoma" w:eastAsia="Times New Roman" w:hAnsi="Tahoma" w:cs="Tahoma"/>
            <w:color w:val="000000"/>
            <w:sz w:val="24"/>
            <w:szCs w:val="24"/>
            <w:shd w:val="clear" w:color="auto" w:fill="FFFFFF"/>
          </w:rPr>
          <w:t>MS-1.docx</w:t>
        </w:r>
      </w:hyperlink>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5A"/>
    <w:rsid w:val="003E268A"/>
    <w:rsid w:val="007B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075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075A"/>
    <w:rPr>
      <w:rFonts w:eastAsia="Times New Roman" w:cs="Times New Roman"/>
      <w:b/>
      <w:bCs/>
      <w:sz w:val="27"/>
      <w:szCs w:val="27"/>
    </w:rPr>
  </w:style>
  <w:style w:type="character" w:styleId="Strong">
    <w:name w:val="Strong"/>
    <w:basedOn w:val="DefaultParagraphFont"/>
    <w:uiPriority w:val="22"/>
    <w:qFormat/>
    <w:rsid w:val="007B075A"/>
    <w:rPr>
      <w:b/>
      <w:bCs/>
    </w:rPr>
  </w:style>
  <w:style w:type="character" w:styleId="Hyperlink">
    <w:name w:val="Hyperlink"/>
    <w:basedOn w:val="DefaultParagraphFont"/>
    <w:uiPriority w:val="99"/>
    <w:semiHidden/>
    <w:unhideWhenUsed/>
    <w:rsid w:val="007B07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075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075A"/>
    <w:rPr>
      <w:rFonts w:eastAsia="Times New Roman" w:cs="Times New Roman"/>
      <w:b/>
      <w:bCs/>
      <w:sz w:val="27"/>
      <w:szCs w:val="27"/>
    </w:rPr>
  </w:style>
  <w:style w:type="character" w:styleId="Strong">
    <w:name w:val="Strong"/>
    <w:basedOn w:val="DefaultParagraphFont"/>
    <w:uiPriority w:val="22"/>
    <w:qFormat/>
    <w:rsid w:val="007B075A"/>
    <w:rPr>
      <w:b/>
      <w:bCs/>
    </w:rPr>
  </w:style>
  <w:style w:type="character" w:styleId="Hyperlink">
    <w:name w:val="Hyperlink"/>
    <w:basedOn w:val="DefaultParagraphFont"/>
    <w:uiPriority w:val="99"/>
    <w:semiHidden/>
    <w:unhideWhenUsed/>
    <w:rsid w:val="007B0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91823">
      <w:bodyDiv w:val="1"/>
      <w:marLeft w:val="0"/>
      <w:marRight w:val="0"/>
      <w:marTop w:val="0"/>
      <w:marBottom w:val="0"/>
      <w:divBdr>
        <w:top w:val="none" w:sz="0" w:space="0" w:color="auto"/>
        <w:left w:val="none" w:sz="0" w:space="0" w:color="auto"/>
        <w:bottom w:val="none" w:sz="0" w:space="0" w:color="auto"/>
        <w:right w:val="none" w:sz="0" w:space="0" w:color="auto"/>
      </w:divBdr>
      <w:divsChild>
        <w:div w:id="1870486525">
          <w:marLeft w:val="0"/>
          <w:marRight w:val="0"/>
          <w:marTop w:val="0"/>
          <w:marBottom w:val="0"/>
          <w:divBdr>
            <w:top w:val="none" w:sz="0" w:space="0" w:color="auto"/>
            <w:left w:val="none" w:sz="0" w:space="0" w:color="auto"/>
            <w:bottom w:val="none" w:sz="0" w:space="0" w:color="auto"/>
            <w:right w:val="none" w:sz="0" w:space="0" w:color="auto"/>
          </w:divBdr>
          <w:divsChild>
            <w:div w:id="9871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upuh.gialai.gov.vn/getattachment/TTHC/caphuyen/Linh-vuc-lamnghiep/5-Thu-tuc-Tham-%C4%91inh-va-phe-duyet-ho-so-thiet-ke,-d/MS-1.doc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2020-01-21T01:55:00Z</dcterms:created>
  <dcterms:modified xsi:type="dcterms:W3CDTF">2020-01-21T01:55:00Z</dcterms:modified>
</cp:coreProperties>
</file>