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67" w:rsidRPr="00BC2B67" w:rsidRDefault="00BC2B67" w:rsidP="00BC2B67">
      <w:pPr>
        <w:shd w:val="clear" w:color="auto" w:fill="EEEEEE"/>
        <w:spacing w:before="195" w:after="0" w:line="300" w:lineRule="atLeast"/>
        <w:jc w:val="both"/>
        <w:outlineLvl w:val="1"/>
        <w:rPr>
          <w:rFonts w:eastAsia="Times New Roman" w:cs="Times New Roman"/>
          <w:color w:val="333333"/>
          <w:szCs w:val="28"/>
        </w:rPr>
      </w:pPr>
      <w:bookmarkStart w:id="0" w:name="_GoBack"/>
      <w:r w:rsidRPr="00BC2B67">
        <w:rPr>
          <w:rFonts w:eastAsia="Times New Roman" w:cs="Times New Roman"/>
          <w:color w:val="333333"/>
          <w:szCs w:val="28"/>
        </w:rPr>
        <w:t>Xử lý đơn tại cấp huyện</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Thẩm quyền giải quyết:</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color w:val="333333"/>
          <w:szCs w:val="28"/>
        </w:rPr>
        <w:t>Ủy ban nhân dân huyện, thị xã, thành phố tỉnh</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Lĩnh vực:</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color w:val="333333"/>
          <w:szCs w:val="28"/>
        </w:rPr>
        <w:t>Lĩnh vực giải quyết khiếu nại, tố cáo</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Lĩnh vực thống kê:</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color w:val="333333"/>
          <w:szCs w:val="28"/>
        </w:rPr>
        <w:t>Lĩnh vực giải quyết khiếu nại, tố cáo</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Cách thức thực hiện:</w:t>
      </w:r>
    </w:p>
    <w:p w:rsidR="00BC2B67" w:rsidRPr="00BC2B67" w:rsidRDefault="00BC2B67" w:rsidP="00BC2B67">
      <w:pPr>
        <w:shd w:val="clear" w:color="auto" w:fill="FFFFFF"/>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Công dân gửi đơn đến cơ quan hoặc gửi đơn qua đường bưu điện. </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Trình tự thực hiện: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Bước 1: Nhận đơn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Tiếp nhận đơn, vào sổ công văn đến (hoặc nhập vào máy tính).</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Bước 2: Phân loại và xử lý đơn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b/>
          <w:bCs/>
          <w:color w:val="333333"/>
          <w:szCs w:val="28"/>
          <w:bdr w:val="none" w:sz="0" w:space="0" w:color="auto" w:frame="1"/>
        </w:rPr>
        <w:t>Đối với đơn khiếu nại:</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thuộc thẩm quyền giải quyết</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không thuộc thẩm quyền giải quyết</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do đại biểu Quốc hội, đại biểu Hội đồng nhân dân, </w:t>
      </w:r>
      <w:r w:rsidRPr="00BC2B67">
        <w:rPr>
          <w:rFonts w:eastAsia="Times New Roman" w:cs="Times New Roman"/>
          <w:color w:val="333333"/>
          <w:szCs w:val="28"/>
          <w:bdr w:val="none" w:sz="0" w:space="0" w:color="auto" w:frame="1"/>
          <w:shd w:val="clear" w:color="auto" w:fill="FFFFFF"/>
        </w:rPr>
        <w:t>Ủy ban </w:t>
      </w:r>
      <w:r w:rsidRPr="00BC2B67">
        <w:rPr>
          <w:rFonts w:eastAsia="Times New Roman" w:cs="Times New Roman"/>
          <w:color w:val="333333"/>
          <w:szCs w:val="28"/>
          <w:bdr w:val="none" w:sz="0" w:space="0" w:color="auto" w:frame="1"/>
        </w:rPr>
        <w:t>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có họ tên, chữ ký của nhiều ng</w:t>
      </w:r>
      <w:r w:rsidRPr="00BC2B67">
        <w:rPr>
          <w:rFonts w:eastAsia="Times New Roman" w:cs="Times New Roman"/>
          <w:i/>
          <w:iCs/>
          <w:color w:val="333333"/>
          <w:szCs w:val="28"/>
          <w:bdr w:val="none" w:sz="0" w:space="0" w:color="auto" w:frame="1"/>
          <w:shd w:val="clear" w:color="auto" w:fill="FFFFFF"/>
        </w:rPr>
        <w:t>ườ</w:t>
      </w:r>
      <w:r w:rsidRPr="00BC2B67">
        <w:rPr>
          <w:rFonts w:eastAsia="Times New Roman" w:cs="Times New Roman"/>
          <w:i/>
          <w:iCs/>
          <w:color w:val="333333"/>
          <w:szCs w:val="28"/>
          <w:bdr w:val="none" w:sz="0" w:space="0" w:color="auto" w:frame="1"/>
        </w:rPr>
        <w:t>i</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xml:space="preserve">+ Đơn khiếu nại có họ tên, chữ ký của nhiều người không thuộc thẩm quyền giải quyết của cơ quan, tổ chức, đơn vị thì người xử lý đơn hướng dẫn cho một người </w:t>
      </w:r>
      <w:r w:rsidRPr="00BC2B67">
        <w:rPr>
          <w:rFonts w:eastAsia="Times New Roman" w:cs="Times New Roman"/>
          <w:color w:val="333333"/>
          <w:szCs w:val="28"/>
          <w:bdr w:val="none" w:sz="0" w:space="0" w:color="auto" w:frame="1"/>
        </w:rPr>
        <w:lastRenderedPageBreak/>
        <w:t>khiếu nại có họ, tên, địa chỉ rõ ràng gửi đơn đến đúng cơ quan, tổ chức, đơn vị, người có thẩm quyền giải quyết.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có họ tên, chữ ký của nhiều người thuộc thẩm quyền giải quyết thì người xử lý đơn đề xuất thủ trưởng cơ quan, tổ chức, đơn vị thụ lý để giải quyết theo quy định của pháp luật.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có kèm theo giấy tờ, tài liệu gốc</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đối với quyết định giải quyết khiếu nại đã có hiệu lực pháp luật nhưng có dấu hiệu vi phạm pháp luật</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w:t>
      </w:r>
      <w:r w:rsidRPr="00BC2B67">
        <w:rPr>
          <w:rFonts w:eastAsia="Times New Roman" w:cs="Times New Roman"/>
          <w:color w:val="333333"/>
          <w:szCs w:val="28"/>
          <w:bdr w:val="none" w:sz="0" w:space="0" w:color="auto" w:frame="1"/>
          <w:shd w:val="clear" w:color="auto" w:fill="FFFFFF"/>
        </w:rPr>
        <w:t>thủ trưởng</w:t>
      </w:r>
      <w:r w:rsidRPr="00BC2B67">
        <w:rPr>
          <w:rFonts w:eastAsia="Times New Roman" w:cs="Times New Roman"/>
          <w:color w:val="333333"/>
          <w:szCs w:val="28"/>
          <w:bdr w:val="none" w:sz="0" w:space="0" w:color="auto" w:frame="1"/>
        </w:rPr>
        <w:t> cơ quan, tổ chức, đơn vị xem xét, giải quyết theo thẩm quyền hoặc báo cáo cơ quan, tổ chức, đơn vị người có thẩm quyền xem xét, quyết định.</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đối </w:t>
      </w:r>
      <w:r w:rsidRPr="00BC2B67">
        <w:rPr>
          <w:rFonts w:eastAsia="Times New Roman" w:cs="Times New Roman"/>
          <w:i/>
          <w:iCs/>
          <w:color w:val="333333"/>
          <w:szCs w:val="28"/>
          <w:bdr w:val="none" w:sz="0" w:space="0" w:color="auto" w:frame="1"/>
          <w:shd w:val="clear" w:color="auto" w:fill="FFFFFF"/>
        </w:rPr>
        <w:t>với</w:t>
      </w:r>
      <w:r w:rsidRPr="00BC2B67">
        <w:rPr>
          <w:rFonts w:eastAsia="Times New Roman" w:cs="Times New Roman"/>
          <w:i/>
          <w:iCs/>
          <w:color w:val="333333"/>
          <w:szCs w:val="28"/>
          <w:bdr w:val="none" w:sz="0" w:space="0" w:color="auto" w:frame="1"/>
        </w:rPr>
        <w:t> quyết định hành chính có khả năng gây hậu quả khó khắc phục</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việc thi hành quyết định hành chính.</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 Đối với đơn tố cáo:</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tố cáo thuộc thẩm quyền</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Nếu nội dung đơn tố cáo thuộc thẩm quyền giải quyết của thủ trưởng cơ quan, tổ chức, </w:t>
      </w:r>
      <w:r w:rsidRPr="00BC2B67">
        <w:rPr>
          <w:rFonts w:eastAsia="Times New Roman" w:cs="Times New Roman"/>
          <w:color w:val="333333"/>
          <w:szCs w:val="28"/>
          <w:bdr w:val="none" w:sz="0" w:space="0" w:color="auto" w:frame="1"/>
          <w:shd w:val="clear" w:color="auto" w:fill="FFFFFF"/>
        </w:rPr>
        <w:t>đơn vị</w:t>
      </w:r>
      <w:r w:rsidRPr="00BC2B67">
        <w:rPr>
          <w:rFonts w:eastAsia="Times New Roman" w:cs="Times New Roman"/>
          <w:color w:val="333333"/>
          <w:szCs w:val="28"/>
          <w:bdr w:val="none" w:sz="0" w:space="0" w:color="auto" w:frame="1"/>
        </w:rPr>
        <w:t> mà không thuộc một trong các trường hợp quy định tại khoản 2 Điều 20 Luật tố cáo thì người xử lý đơn báo cáo thủ trưởng cơ quan, tổ chức, đơn vị để thụ lý giải quyết theo quy định.</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tố cáo không thuộc thẩm quyền</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tố cáo không thuộc thẩm quyền giải quyết thì người xử lý đơn đề xuất với </w:t>
      </w:r>
      <w:r w:rsidRPr="00BC2B67">
        <w:rPr>
          <w:rFonts w:eastAsia="Times New Roman" w:cs="Times New Roman"/>
          <w:color w:val="333333"/>
          <w:szCs w:val="28"/>
          <w:bdr w:val="none" w:sz="0" w:space="0" w:color="auto" w:frame="1"/>
          <w:shd w:val="clear" w:color="auto" w:fill="FFFFFF"/>
        </w:rPr>
        <w:t>thủ trưởng</w:t>
      </w:r>
      <w:r w:rsidRPr="00BC2B67">
        <w:rPr>
          <w:rFonts w:eastAsia="Times New Roman" w:cs="Times New Roman"/>
          <w:color w:val="333333"/>
          <w:szCs w:val="28"/>
          <w:bdr w:val="none" w:sz="0" w:space="0" w:color="auto" w:frame="1"/>
        </w:rPr>
        <w:t xml:space="preserve"> cơ quan, tổ chức, đơn vị chuyển đơn và các chứng cứ, thông tin, tài liệu kèm theo (nếu có) đến cơ quan, tổ chức, đơn vị có thẩm quyền để được giải </w:t>
      </w:r>
      <w:r w:rsidRPr="00BC2B67">
        <w:rPr>
          <w:rFonts w:eastAsia="Times New Roman" w:cs="Times New Roman"/>
          <w:color w:val="333333"/>
          <w:szCs w:val="28"/>
          <w:bdr w:val="none" w:sz="0" w:space="0" w:color="auto" w:frame="1"/>
        </w:rPr>
        <w:lastRenderedPageBreak/>
        <w:t>quyết theo quy định của pháp luật theo quy định tại điểm b khoản 1 Điều 20 của Luật tố cáo.</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tố cáo thuộc thẩm quyền giải quyết của cấp dưới trực tiếp nhưng quá thời hạn theo quy định của Luật tố cáo mà chưa được giải quyết thì người xử lý đơn báo cáo để thủ trưởng cơ quan, tổ chức, đơn vị ra văn bản yêu cầu cấp dưới giải quyết.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Nếu tố cáo hành vi phạm tội</w:t>
      </w:r>
      <w:r w:rsidRPr="00BC2B67">
        <w:rPr>
          <w:rFonts w:eastAsia="Times New Roman" w:cs="Times New Roman"/>
          <w:color w:val="333333"/>
          <w:szCs w:val="28"/>
          <w:bdr w:val="none" w:sz="0" w:space="0" w:color="auto" w:frame="1"/>
        </w:rPr>
        <w:t> thì chuyển cho cơ quan có thẩm quyền theo quy định của pháp luật tố tụng hình sự.         </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tố cáo đối với đảng viên</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tố cáo hành vi vi phạm pháp luật gây thiệt hại hoặc đe dọa gây thiệt hại nghiêm trọng đến lợi ích nhà nước, cơ quan, tổ chức, quyền và lợi ích hợp pháp của công dân</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tố cáo xuất phát từ việc khiếu nại không đạt được mục đích</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Tố cáo thuộc các trường hợp quy định tại khoản 2 Điều 20 của Luật tố cáo</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Cơ quan nhận được đơn không chuyển đơn, không thụ lý để giải quyết đồng thời có văn bản giải thích và trả lại đơn cho người tố cáo.</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tố cáo không rõ họ tên, địa chỉ người tố cáo nhưng có nội dung rõ ràng, kèm theo các thông tin, tài liệu, bằng chứng về hành vi tham nhũng, hành vi tội phạm</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Người xử lý đơn báo cáo thủ trưởng cơ quan, tổ chức, đơn vị xử lý theo quy định của pháp luật về phòng, chống tham nhũng, pháp luật tố tụng hình sự.</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*Xử lý các loại đơn khác:</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kiến nghị, phản ánh</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kiến nghị, phản ánh thuộc thẩm quyền, trách nhiệm của cơ quan, tổ chức, đơn vị giải quyết thì người xử lý đơn đề xuất thủ trưởng cơ quan, tổ chức, </w:t>
      </w:r>
      <w:r w:rsidRPr="00BC2B67">
        <w:rPr>
          <w:rFonts w:eastAsia="Times New Roman" w:cs="Times New Roman"/>
          <w:color w:val="333333"/>
          <w:szCs w:val="28"/>
          <w:bdr w:val="none" w:sz="0" w:space="0" w:color="auto" w:frame="1"/>
          <w:shd w:val="clear" w:color="auto" w:fill="FFFFFF"/>
        </w:rPr>
        <w:t>đơn vị</w:t>
      </w:r>
      <w:r w:rsidRPr="00BC2B67">
        <w:rPr>
          <w:rFonts w:eastAsia="Times New Roman" w:cs="Times New Roman"/>
          <w:color w:val="333333"/>
          <w:szCs w:val="28"/>
          <w:bdr w:val="none" w:sz="0" w:space="0" w:color="auto" w:frame="1"/>
        </w:rPr>
        <w:t> thụ lý giải quyết.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Đơn kiến nghị, phản ánh không thuộc thẩm quyền giải quyết của cơ quan, tổ chức, đơn vị thì người xử lý đơn đề xuất thủ trưởng cơ quan, tổ chức, </w:t>
      </w:r>
      <w:r w:rsidRPr="00BC2B67">
        <w:rPr>
          <w:rFonts w:eastAsia="Times New Roman" w:cs="Times New Roman"/>
          <w:color w:val="333333"/>
          <w:szCs w:val="28"/>
          <w:bdr w:val="none" w:sz="0" w:space="0" w:color="auto" w:frame="1"/>
          <w:shd w:val="clear" w:color="auto" w:fill="FFFFFF"/>
        </w:rPr>
        <w:t>đơn vị</w:t>
      </w:r>
      <w:r w:rsidRPr="00BC2B67">
        <w:rPr>
          <w:rFonts w:eastAsia="Times New Roman" w:cs="Times New Roman"/>
          <w:color w:val="333333"/>
          <w:szCs w:val="28"/>
          <w:bdr w:val="none" w:sz="0" w:space="0" w:color="auto" w:frame="1"/>
        </w:rPr>
        <w:t> xem xét, quyết định việc chuyển đơn và các tài liệu kèm theo (nếu có) đến cơ quan, tổ chức, đơn vị, người có thẩm quyền để giải quyết.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có nhiều nội dung khác nhau</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lastRenderedPageBreak/>
        <w:t>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BC2B67">
        <w:rPr>
          <w:rFonts w:eastAsia="Times New Roman" w:cs="Times New Roman"/>
          <w:color w:val="333333"/>
          <w:szCs w:val="28"/>
          <w:bdr w:val="none" w:sz="0" w:space="0" w:color="auto" w:frame="1"/>
          <w:shd w:val="clear" w:color="auto" w:fill="FFFFFF"/>
        </w:rPr>
        <w:t>đơn vị</w:t>
      </w:r>
      <w:r w:rsidRPr="00BC2B67">
        <w:rPr>
          <w:rFonts w:eastAsia="Times New Roman" w:cs="Times New Roman"/>
          <w:color w:val="333333"/>
          <w:szCs w:val="28"/>
          <w:bdr w:val="none" w:sz="0" w:space="0" w:color="auto" w:frame="1"/>
        </w:rPr>
        <w:t> có thẩm quyền giải quyết.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thuộc thẩm quyền giải quyết của cơ quan tiến hành tố tụng, thi hành án</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thuộc thẩm quyền giải quyết của cơ quan dân cử</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Người xử lý đơn hướng dẫn gửi đơn hoặc chuyển đơn đến cơ quan có thẩm quyền để được giải quyết theo quy định của pháp luật.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thuộc thẩm quyền giải quyết của tổ chức chính trị, tổ chức chính trị - xã hội, tổ chức chính trị, xã hội - nghề nghiệp, tổ chức xã hội, tổ chức xã hội - nghề nghiệp, tổ chức tôn giáo</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thuộc thẩm quyền giải quyết của đơn vị sự nghiệp công lập, doanh nghiệp nhà nước</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w:t>
      </w:r>
      <w:r w:rsidRPr="00BC2B67">
        <w:rPr>
          <w:rFonts w:eastAsia="Times New Roman" w:cs="Times New Roman"/>
          <w:i/>
          <w:iCs/>
          <w:color w:val="333333"/>
          <w:szCs w:val="28"/>
          <w:bdr w:val="none" w:sz="0" w:space="0" w:color="auto" w:frame="1"/>
        </w:rPr>
        <w:t>Đơn khiếu nại, tố cáo, kiến nghị, phản ánh những vụ việc có tính chất phức tạp</w:t>
      </w:r>
      <w:r w:rsidRPr="00BC2B67">
        <w:rPr>
          <w:rFonts w:eastAsia="Times New Roman" w:cs="Times New Roman"/>
          <w:color w:val="333333"/>
          <w:szCs w:val="28"/>
          <w:bdr w:val="none" w:sz="0" w:space="0" w:color="auto" w:frame="1"/>
        </w:rPr>
        <w:t>:</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Thành phần hồ sơ:</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Thời hạn giải quyết:</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color w:val="333333"/>
          <w:szCs w:val="28"/>
          <w:bdr w:val="none" w:sz="0" w:space="0" w:color="auto" w:frame="1"/>
        </w:rPr>
        <w:t>Trong thời hạn 10 ngày, kể từ ngày nhận được đơn khiếu nại, tố cáo, kiến nghị, phản ánh.</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Mẫu đơn, mẫu tờ khai:</w:t>
      </w:r>
    </w:p>
    <w:p w:rsidR="00BC2B67" w:rsidRPr="00BC2B67" w:rsidRDefault="00BC2B67" w:rsidP="00BC2B67">
      <w:pPr>
        <w:shd w:val="clear" w:color="auto" w:fill="FFFFFF"/>
        <w:spacing w:after="75" w:line="270" w:lineRule="atLeast"/>
        <w:jc w:val="both"/>
        <w:rPr>
          <w:rFonts w:eastAsia="Times New Roman" w:cs="Times New Roman"/>
          <w:color w:val="333333"/>
          <w:szCs w:val="28"/>
        </w:rPr>
      </w:pPr>
      <w:r w:rsidRPr="00BC2B67">
        <w:rPr>
          <w:rFonts w:eastAsia="Times New Roman" w:cs="Times New Roman"/>
          <w:color w:val="333333"/>
          <w:szCs w:val="28"/>
        </w:rPr>
        <w:t>Không</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Lệ phí:</w:t>
      </w:r>
    </w:p>
    <w:p w:rsidR="00BC2B67" w:rsidRPr="00BC2B67" w:rsidRDefault="00BC2B67" w:rsidP="00BC2B67">
      <w:pPr>
        <w:shd w:val="clear" w:color="auto" w:fill="F6F6F6"/>
        <w:spacing w:after="75" w:line="270" w:lineRule="atLeast"/>
        <w:jc w:val="both"/>
        <w:rPr>
          <w:rFonts w:eastAsia="Times New Roman" w:cs="Times New Roman"/>
          <w:color w:val="333333"/>
          <w:szCs w:val="28"/>
        </w:rPr>
      </w:pPr>
      <w:r w:rsidRPr="00BC2B67">
        <w:rPr>
          <w:rFonts w:eastAsia="Times New Roman" w:cs="Times New Roman"/>
          <w:color w:val="333333"/>
          <w:szCs w:val="28"/>
        </w:rPr>
        <w:t>Không</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Kết quả thực hiện:</w:t>
      </w:r>
    </w:p>
    <w:p w:rsidR="00BC2B67" w:rsidRPr="00BC2B67" w:rsidRDefault="00BC2B67" w:rsidP="00BC2B67">
      <w:pPr>
        <w:shd w:val="clear" w:color="auto" w:fill="FFFFFF"/>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Văn bản trả lời, văn bản hướng dẫn, văn bản chuyển đơn hoặc văn bản thụ lý giải quyết khiếu nại, tố cáo, kiến nghị, phản ánh.</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lastRenderedPageBreak/>
        <w:t>Cơ quan thực hiện:</w:t>
      </w:r>
    </w:p>
    <w:p w:rsidR="00BC2B67" w:rsidRPr="00BC2B67" w:rsidRDefault="00BC2B67" w:rsidP="00BC2B67">
      <w:pPr>
        <w:shd w:val="clear" w:color="auto" w:fill="F6F6F6"/>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 Cơ quan, người có thẩm quyền quyết định: Chủ tịch UBND cấp huyện, Trưởng phòng, ban, đơn vị chuyên môn trực thuộc UBND cấp huyện.</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color w:val="333333"/>
          <w:szCs w:val="28"/>
          <w:bdr w:val="none" w:sz="0" w:space="0" w:color="auto" w:frame="1"/>
        </w:rPr>
        <w:t>- Cơ quan trực tiếp thực hiện: Ban tiếp công dân cấp huyện, các phòng, ban, đơn vị chuyên môn trực thuộc UBND cấp huyện</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Đối tượng thực hiện:</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color w:val="333333"/>
          <w:szCs w:val="28"/>
          <w:bdr w:val="none" w:sz="0" w:space="0" w:color="auto" w:frame="1"/>
        </w:rPr>
        <w:t>Cá nhân, tổ chức</w:t>
      </w:r>
    </w:p>
    <w:p w:rsidR="00BC2B67" w:rsidRPr="00BC2B67" w:rsidRDefault="00BC2B67" w:rsidP="00BC2B67">
      <w:pPr>
        <w:shd w:val="clear" w:color="auto" w:fill="F6F6F6"/>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Yêu cầu hoặc điều kiện:</w:t>
      </w:r>
    </w:p>
    <w:p w:rsidR="00BC2B67" w:rsidRPr="00BC2B67" w:rsidRDefault="00BC2B67" w:rsidP="00BC2B67">
      <w:pPr>
        <w:shd w:val="clear" w:color="auto" w:fill="F6F6F6"/>
        <w:spacing w:after="75" w:line="270" w:lineRule="atLeast"/>
        <w:jc w:val="both"/>
        <w:rPr>
          <w:rFonts w:eastAsia="Times New Roman" w:cs="Times New Roman"/>
          <w:color w:val="333333"/>
          <w:szCs w:val="28"/>
        </w:rPr>
      </w:pPr>
      <w:r w:rsidRPr="00BC2B67">
        <w:rPr>
          <w:rFonts w:eastAsia="Times New Roman" w:cs="Times New Roman"/>
          <w:color w:val="333333"/>
          <w:szCs w:val="28"/>
        </w:rPr>
        <w:t>Không</w:t>
      </w:r>
    </w:p>
    <w:p w:rsidR="00BC2B67" w:rsidRPr="00BC2B67" w:rsidRDefault="00BC2B67" w:rsidP="00BC2B67">
      <w:pPr>
        <w:shd w:val="clear" w:color="auto" w:fill="FFFFFF"/>
        <w:spacing w:after="0" w:line="240" w:lineRule="auto"/>
        <w:jc w:val="both"/>
        <w:rPr>
          <w:rFonts w:eastAsia="Times New Roman" w:cs="Times New Roman"/>
          <w:color w:val="333333"/>
          <w:szCs w:val="28"/>
        </w:rPr>
      </w:pPr>
      <w:r w:rsidRPr="00BC2B67">
        <w:rPr>
          <w:rFonts w:eastAsia="Times New Roman" w:cs="Times New Roman"/>
          <w:b/>
          <w:bCs/>
          <w:color w:val="333333"/>
          <w:szCs w:val="28"/>
          <w:bdr w:val="none" w:sz="0" w:space="0" w:color="auto" w:frame="1"/>
        </w:rPr>
        <w:t>Căn cứ pháp lý:</w:t>
      </w:r>
    </w:p>
    <w:p w:rsidR="00BC2B67" w:rsidRPr="00BC2B67" w:rsidRDefault="00BC2B67" w:rsidP="00BC2B67">
      <w:pPr>
        <w:shd w:val="clear" w:color="auto" w:fill="FFFFFF"/>
        <w:spacing w:after="0" w:line="270" w:lineRule="atLeast"/>
        <w:jc w:val="both"/>
        <w:rPr>
          <w:rFonts w:eastAsia="Times New Roman" w:cs="Times New Roman"/>
          <w:color w:val="333333"/>
          <w:szCs w:val="28"/>
        </w:rPr>
      </w:pPr>
      <w:r w:rsidRPr="00BC2B67">
        <w:rPr>
          <w:rFonts w:eastAsia="Times New Roman" w:cs="Times New Roman"/>
          <w:color w:val="333333"/>
          <w:szCs w:val="28"/>
          <w:bdr w:val="none" w:sz="0" w:space="0" w:color="auto" w:frame="1"/>
        </w:rPr>
        <w:t>Luật khiếu nại, Luật tố cáo năm 2011, Luật tiếp công dân năm 2013;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của Chính phủ quy định chi tiết một số điều của Luật tiếp công dân; Thông tư số 07/2014/TT-TTCP ngày 31/10/2014 quy định quy trình xử lý đơn khiếu nại, đơn tố cáo, đơn kiến nghị, phản ánh.</w:t>
      </w:r>
    </w:p>
    <w:bookmarkEnd w:id="0"/>
    <w:p w:rsidR="003E268A" w:rsidRPr="00BC2B67" w:rsidRDefault="003E268A">
      <w:pPr>
        <w:rPr>
          <w:rFonts w:cs="Times New Roman"/>
          <w:szCs w:val="28"/>
        </w:rPr>
      </w:pPr>
    </w:p>
    <w:sectPr w:rsidR="003E268A" w:rsidRPr="00BC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67"/>
    <w:rsid w:val="003E268A"/>
    <w:rsid w:val="00BC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2B6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B67"/>
    <w:rPr>
      <w:rFonts w:eastAsia="Times New Roman" w:cs="Times New Roman"/>
      <w:b/>
      <w:bCs/>
      <w:sz w:val="36"/>
      <w:szCs w:val="36"/>
    </w:rPr>
  </w:style>
  <w:style w:type="character" w:styleId="Strong">
    <w:name w:val="Strong"/>
    <w:basedOn w:val="DefaultParagraphFont"/>
    <w:uiPriority w:val="22"/>
    <w:qFormat/>
    <w:rsid w:val="00BC2B67"/>
    <w:rPr>
      <w:b/>
      <w:bCs/>
    </w:rPr>
  </w:style>
  <w:style w:type="paragraph" w:styleId="NormalWeb">
    <w:name w:val="Normal (Web)"/>
    <w:basedOn w:val="Normal"/>
    <w:uiPriority w:val="99"/>
    <w:semiHidden/>
    <w:unhideWhenUsed/>
    <w:rsid w:val="00BC2B6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C2B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2B6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B67"/>
    <w:rPr>
      <w:rFonts w:eastAsia="Times New Roman" w:cs="Times New Roman"/>
      <w:b/>
      <w:bCs/>
      <w:sz w:val="36"/>
      <w:szCs w:val="36"/>
    </w:rPr>
  </w:style>
  <w:style w:type="character" w:styleId="Strong">
    <w:name w:val="Strong"/>
    <w:basedOn w:val="DefaultParagraphFont"/>
    <w:uiPriority w:val="22"/>
    <w:qFormat/>
    <w:rsid w:val="00BC2B67"/>
    <w:rPr>
      <w:b/>
      <w:bCs/>
    </w:rPr>
  </w:style>
  <w:style w:type="paragraph" w:styleId="NormalWeb">
    <w:name w:val="Normal (Web)"/>
    <w:basedOn w:val="Normal"/>
    <w:uiPriority w:val="99"/>
    <w:semiHidden/>
    <w:unhideWhenUsed/>
    <w:rsid w:val="00BC2B6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C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615">
      <w:bodyDiv w:val="1"/>
      <w:marLeft w:val="0"/>
      <w:marRight w:val="0"/>
      <w:marTop w:val="0"/>
      <w:marBottom w:val="0"/>
      <w:divBdr>
        <w:top w:val="none" w:sz="0" w:space="0" w:color="auto"/>
        <w:left w:val="none" w:sz="0" w:space="0" w:color="auto"/>
        <w:bottom w:val="none" w:sz="0" w:space="0" w:color="auto"/>
        <w:right w:val="none" w:sz="0" w:space="0" w:color="auto"/>
      </w:divBdr>
      <w:divsChild>
        <w:div w:id="178311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2020-01-17T09:37:00Z</dcterms:created>
  <dcterms:modified xsi:type="dcterms:W3CDTF">2020-01-17T09:37:00Z</dcterms:modified>
</cp:coreProperties>
</file>