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14" w:type="dxa"/>
        <w:tblInd w:w="-351" w:type="dxa"/>
        <w:shd w:val="clear" w:color="auto" w:fill="FFFFFF"/>
        <w:tblCellMar>
          <w:top w:w="15" w:type="dxa"/>
          <w:left w:w="15" w:type="dxa"/>
          <w:bottom w:w="15" w:type="dxa"/>
          <w:right w:w="15" w:type="dxa"/>
        </w:tblCellMar>
        <w:tblLook w:val="04A0" w:firstRow="1" w:lastRow="0" w:firstColumn="1" w:lastColumn="0" w:noHBand="0" w:noVBand="1"/>
      </w:tblPr>
      <w:tblGrid>
        <w:gridCol w:w="1819"/>
        <w:gridCol w:w="7895"/>
      </w:tblGrid>
      <w:tr w:rsidR="00D40208" w:rsidRPr="00D40208" w:rsidTr="00D40208">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D40208" w:rsidRPr="00D40208" w:rsidRDefault="00D40208" w:rsidP="00D40208">
            <w:pPr>
              <w:spacing w:after="0" w:line="15" w:lineRule="atLeast"/>
              <w:jc w:val="both"/>
              <w:rPr>
                <w:rFonts w:eastAsia="Times New Roman" w:cs="Times New Roman"/>
                <w:color w:val="000000"/>
                <w:sz w:val="24"/>
                <w:szCs w:val="24"/>
              </w:rPr>
            </w:pPr>
            <w:bookmarkStart w:id="0" w:name="_GoBack"/>
            <w:r w:rsidRPr="00D40208">
              <w:rPr>
                <w:rFonts w:eastAsia="Times New Roman" w:cs="Times New Roman"/>
                <w:color w:val="000000"/>
                <w:sz w:val="24"/>
                <w:szCs w:val="24"/>
              </w:rPr>
              <w:t>Thẩm quyền giải quyết</w:t>
            </w:r>
          </w:p>
        </w:tc>
        <w:tc>
          <w:tcPr>
            <w:tcW w:w="78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D40208" w:rsidRPr="00D40208" w:rsidRDefault="00D40208" w:rsidP="00D40208">
            <w:pPr>
              <w:spacing w:after="0" w:line="15" w:lineRule="atLeast"/>
              <w:rPr>
                <w:rFonts w:eastAsia="Times New Roman" w:cs="Times New Roman"/>
                <w:color w:val="000000"/>
                <w:sz w:val="24"/>
                <w:szCs w:val="24"/>
              </w:rPr>
            </w:pPr>
            <w:r w:rsidRPr="00D40208">
              <w:rPr>
                <w:rFonts w:eastAsia="Times New Roman" w:cs="Times New Roman"/>
                <w:color w:val="000000"/>
                <w:sz w:val="24"/>
                <w:szCs w:val="24"/>
              </w:rPr>
              <w:t>Phòng</w:t>
            </w:r>
            <w:r w:rsidRPr="00E43695">
              <w:rPr>
                <w:rFonts w:eastAsia="Times New Roman" w:cs="Times New Roman"/>
                <w:b/>
                <w:bCs/>
                <w:color w:val="000000"/>
                <w:sz w:val="24"/>
                <w:szCs w:val="24"/>
              </w:rPr>
              <w:t> </w:t>
            </w:r>
            <w:r w:rsidRPr="00D40208">
              <w:rPr>
                <w:rFonts w:eastAsia="Times New Roman" w:cs="Times New Roman"/>
                <w:color w:val="000000"/>
                <w:sz w:val="24"/>
                <w:szCs w:val="24"/>
              </w:rPr>
              <w:t>Giáo dục và Đào tạo</w:t>
            </w:r>
          </w:p>
        </w:tc>
      </w:tr>
      <w:tr w:rsidR="00D40208" w:rsidRPr="00D40208" w:rsidTr="00D40208">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D40208" w:rsidRPr="00D40208" w:rsidRDefault="00D40208" w:rsidP="00D40208">
            <w:pPr>
              <w:spacing w:after="0" w:line="15" w:lineRule="atLeast"/>
              <w:jc w:val="both"/>
              <w:rPr>
                <w:rFonts w:eastAsia="Times New Roman" w:cs="Times New Roman"/>
                <w:color w:val="000000"/>
                <w:sz w:val="24"/>
                <w:szCs w:val="24"/>
              </w:rPr>
            </w:pPr>
            <w:r w:rsidRPr="00D40208">
              <w:rPr>
                <w:rFonts w:eastAsia="Times New Roman" w:cs="Times New Roman"/>
                <w:color w:val="000000"/>
                <w:sz w:val="24"/>
                <w:szCs w:val="24"/>
              </w:rPr>
              <w:t>Lĩnh vực</w:t>
            </w:r>
          </w:p>
        </w:tc>
        <w:tc>
          <w:tcPr>
            <w:tcW w:w="7895"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D40208" w:rsidRPr="00D40208" w:rsidRDefault="00D40208" w:rsidP="00D40208">
            <w:pPr>
              <w:spacing w:after="0" w:line="15" w:lineRule="atLeast"/>
              <w:rPr>
                <w:rFonts w:eastAsia="Times New Roman" w:cs="Times New Roman"/>
                <w:color w:val="000000"/>
                <w:sz w:val="24"/>
                <w:szCs w:val="24"/>
              </w:rPr>
            </w:pPr>
            <w:r w:rsidRPr="00E43695">
              <w:rPr>
                <w:rFonts w:eastAsia="Times New Roman" w:cs="Times New Roman"/>
                <w:b/>
                <w:bCs/>
                <w:color w:val="000000"/>
                <w:sz w:val="24"/>
                <w:szCs w:val="24"/>
              </w:rPr>
              <w:t>Giáo dục và Đào tạo</w:t>
            </w:r>
          </w:p>
        </w:tc>
      </w:tr>
      <w:tr w:rsidR="00D40208" w:rsidRPr="00D40208" w:rsidTr="00D40208">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D40208" w:rsidRPr="00D40208" w:rsidRDefault="00D40208" w:rsidP="00D40208">
            <w:pPr>
              <w:spacing w:after="0" w:line="15" w:lineRule="atLeast"/>
              <w:jc w:val="both"/>
              <w:rPr>
                <w:rFonts w:eastAsia="Times New Roman" w:cs="Times New Roman"/>
                <w:color w:val="000000"/>
                <w:sz w:val="24"/>
                <w:szCs w:val="24"/>
              </w:rPr>
            </w:pPr>
            <w:r w:rsidRPr="00E43695">
              <w:rPr>
                <w:rFonts w:eastAsia="Times New Roman" w:cs="Times New Roman"/>
                <w:color w:val="000000"/>
                <w:sz w:val="24"/>
                <w:szCs w:val="24"/>
              </w:rPr>
              <w:t>1</w:t>
            </w:r>
            <w:r w:rsidRPr="00D40208">
              <w:rPr>
                <w:rFonts w:eastAsia="Times New Roman" w:cs="Times New Roman"/>
                <w:color w:val="000000"/>
                <w:sz w:val="24"/>
                <w:szCs w:val="24"/>
              </w:rPr>
              <w:t xml:space="preserve"> Trình tự thực hiện</w:t>
            </w:r>
          </w:p>
        </w:tc>
        <w:tc>
          <w:tcPr>
            <w:tcW w:w="78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D40208" w:rsidRPr="00D40208" w:rsidRDefault="00D40208" w:rsidP="00D40208">
            <w:pPr>
              <w:spacing w:after="0" w:line="15" w:lineRule="atLeast"/>
              <w:rPr>
                <w:rFonts w:eastAsia="Times New Roman" w:cs="Times New Roman"/>
                <w:color w:val="000000"/>
                <w:sz w:val="24"/>
                <w:szCs w:val="24"/>
              </w:rPr>
            </w:pPr>
            <w:r w:rsidRPr="00D40208">
              <w:rPr>
                <w:rFonts w:eastAsia="Times New Roman" w:cs="Times New Roman"/>
                <w:color w:val="000000"/>
                <w:sz w:val="24"/>
                <w:szCs w:val="24"/>
              </w:rPr>
              <w:t>a) Ủy ban nhân dân cấp xã đối với trường trung học cơ sở; Ủy ban nhân dân cấp huyện đối với trường trung học phổ thông; tổ chức hoặc cá nhân đối với các trường trung học tư thục gửi trực tiếp hoặc qua bưu điện 01 bộ hồ sơ quy định tại khoản 2 Điều này đến Phòng Giáo dục và Đào tạo đối với trường trung học cơ sở, Sở Giáo dục và Đào tạo đối với trường trung học phổ thông;</w:t>
            </w:r>
            <w:r w:rsidRPr="00D40208">
              <w:rPr>
                <w:rFonts w:eastAsia="Times New Roman" w:cs="Times New Roman"/>
                <w:color w:val="000000"/>
                <w:sz w:val="24"/>
                <w:szCs w:val="24"/>
              </w:rPr>
              <w:br/>
              <w:t>b) Phòng Giáo dục và Đào tạo, Sở Giáo dục và Đào tạo tiếp nhận hồ sơ. Trong thời hạn 20 ngày làm việc, kể từ ngày nhận đủ hồ sơ hợp lệ, nếu đủ điều kiện, cơ quan tiếp nhận hồ sơ chủ trì, phối hợp với các phòng chuyên môn có liên quan thẩm định hồ sơ và thẩm định thực tế điều kiện thành lập trường trung học; nếu đủ điều kiện thì có ý kiến bằng văn bản và gửi hồ sơ đề nghị thành lập hoặc cho phép thành lập trường đến người có thẩm quyền quy định tại khoản 1 Điều này; nếu chưa đủ điều kiện thì có văn bản thông báo cho Ủy ban nhân dân cấp xã, Ủy ban nhân dân cấp huyện hoặc tổ chức, cá nhân đề nghị thành lập trường nêu rõ lý do;</w:t>
            </w:r>
            <w:r w:rsidRPr="00D40208">
              <w:rPr>
                <w:rFonts w:eastAsia="Times New Roman" w:cs="Times New Roman"/>
                <w:color w:val="000000"/>
                <w:sz w:val="24"/>
                <w:szCs w:val="24"/>
              </w:rPr>
              <w:br/>
              <w:t>c) Trong thời hạn 05 ngày làm việc, kể từ ngày nhận đủ hồ sơ hợp lệ, người có thẩm quyền quyết định thành lập hoặc cho phép thành lập trường; nếu chưa quyết định thành lập hoặc cho phép thành lập trường thì có văn bản thông báo cho cơ quan tiếp nhận hồ sơ và tổ chức, cá nhân đề nghị thành lập trường nêu rõ lý do.”</w:t>
            </w:r>
            <w:r w:rsidRPr="00D40208">
              <w:rPr>
                <w:rFonts w:eastAsia="Times New Roman" w:cs="Times New Roman"/>
                <w:color w:val="000000"/>
                <w:sz w:val="24"/>
                <w:szCs w:val="24"/>
              </w:rPr>
              <w:br/>
              <w:t> </w:t>
            </w:r>
          </w:p>
        </w:tc>
      </w:tr>
      <w:tr w:rsidR="00D40208" w:rsidRPr="00D40208" w:rsidTr="00D40208">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D40208" w:rsidRPr="00D40208" w:rsidRDefault="00D40208" w:rsidP="00D40208">
            <w:pPr>
              <w:spacing w:after="0" w:line="15" w:lineRule="atLeast"/>
              <w:jc w:val="both"/>
              <w:rPr>
                <w:rFonts w:eastAsia="Times New Roman" w:cs="Times New Roman"/>
                <w:color w:val="000000"/>
                <w:sz w:val="24"/>
                <w:szCs w:val="24"/>
              </w:rPr>
            </w:pPr>
            <w:r w:rsidRPr="00E43695">
              <w:rPr>
                <w:rFonts w:eastAsia="Times New Roman" w:cs="Times New Roman"/>
                <w:color w:val="000000"/>
                <w:sz w:val="24"/>
                <w:szCs w:val="24"/>
              </w:rPr>
              <w:t>2</w:t>
            </w:r>
            <w:r w:rsidRPr="00D40208">
              <w:rPr>
                <w:rFonts w:eastAsia="Times New Roman" w:cs="Times New Roman"/>
                <w:color w:val="000000"/>
                <w:sz w:val="24"/>
                <w:szCs w:val="24"/>
              </w:rPr>
              <w:t xml:space="preserve"> Cách thức thực hiện</w:t>
            </w:r>
          </w:p>
        </w:tc>
        <w:tc>
          <w:tcPr>
            <w:tcW w:w="7895"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D40208" w:rsidRPr="00D40208" w:rsidRDefault="00D40208" w:rsidP="00D40208">
            <w:pPr>
              <w:spacing w:after="0" w:line="15" w:lineRule="atLeast"/>
              <w:jc w:val="both"/>
              <w:rPr>
                <w:rFonts w:eastAsia="Times New Roman" w:cs="Times New Roman"/>
                <w:color w:val="000000"/>
                <w:sz w:val="24"/>
                <w:szCs w:val="24"/>
              </w:rPr>
            </w:pPr>
            <w:r w:rsidRPr="00D40208">
              <w:rPr>
                <w:rFonts w:eastAsia="Times New Roman" w:cs="Times New Roman"/>
                <w:color w:val="000000"/>
                <w:sz w:val="24"/>
                <w:szCs w:val="24"/>
              </w:rPr>
              <w:t>Bộ phận tiếp nhận và trả kết quả của UBND cấp huyện</w:t>
            </w:r>
          </w:p>
        </w:tc>
      </w:tr>
      <w:tr w:rsidR="00D40208" w:rsidRPr="00D40208" w:rsidTr="00D40208">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D40208" w:rsidRPr="00D40208" w:rsidRDefault="00D40208" w:rsidP="00D40208">
            <w:pPr>
              <w:spacing w:after="0" w:line="15" w:lineRule="atLeast"/>
              <w:jc w:val="both"/>
              <w:rPr>
                <w:rFonts w:eastAsia="Times New Roman" w:cs="Times New Roman"/>
                <w:color w:val="000000"/>
                <w:sz w:val="24"/>
                <w:szCs w:val="24"/>
              </w:rPr>
            </w:pPr>
            <w:r w:rsidRPr="00E43695">
              <w:rPr>
                <w:rFonts w:eastAsia="Times New Roman" w:cs="Times New Roman"/>
                <w:color w:val="000000"/>
                <w:sz w:val="24"/>
                <w:szCs w:val="24"/>
              </w:rPr>
              <w:t>3</w:t>
            </w:r>
            <w:r w:rsidRPr="00D40208">
              <w:rPr>
                <w:rFonts w:eastAsia="Times New Roman" w:cs="Times New Roman"/>
                <w:color w:val="000000"/>
                <w:sz w:val="24"/>
                <w:szCs w:val="24"/>
              </w:rPr>
              <w:t xml:space="preserve"> Hồ sơ</w:t>
            </w:r>
            <w:r w:rsidRPr="00D40208">
              <w:rPr>
                <w:rFonts w:eastAsia="Times New Roman" w:cs="Times New Roman"/>
                <w:color w:val="000000"/>
                <w:sz w:val="24"/>
                <w:szCs w:val="24"/>
              </w:rPr>
              <w:br/>
              <w:t> </w:t>
            </w:r>
          </w:p>
        </w:tc>
        <w:tc>
          <w:tcPr>
            <w:tcW w:w="78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D40208" w:rsidRPr="00D40208" w:rsidRDefault="00D40208" w:rsidP="00D40208">
            <w:pPr>
              <w:spacing w:before="100" w:beforeAutospacing="1" w:after="100" w:afterAutospacing="1" w:line="240" w:lineRule="atLeast"/>
              <w:jc w:val="both"/>
              <w:rPr>
                <w:rFonts w:eastAsia="Times New Roman" w:cs="Times New Roman"/>
                <w:color w:val="000000"/>
                <w:sz w:val="24"/>
                <w:szCs w:val="24"/>
              </w:rPr>
            </w:pPr>
            <w:r w:rsidRPr="00D40208">
              <w:rPr>
                <w:rFonts w:eastAsia="Times New Roman" w:cs="Times New Roman"/>
                <w:color w:val="000000"/>
                <w:sz w:val="24"/>
                <w:szCs w:val="24"/>
              </w:rPr>
              <w:t>a) Tờ trình về việc thành lập trường;</w:t>
            </w:r>
          </w:p>
          <w:p w:rsidR="00D40208" w:rsidRPr="00D40208" w:rsidRDefault="00D40208" w:rsidP="00D40208">
            <w:pPr>
              <w:spacing w:before="100" w:beforeAutospacing="1" w:after="100" w:afterAutospacing="1" w:line="240" w:lineRule="atLeast"/>
              <w:jc w:val="both"/>
              <w:rPr>
                <w:rFonts w:eastAsia="Times New Roman" w:cs="Times New Roman"/>
                <w:color w:val="000000"/>
                <w:sz w:val="24"/>
                <w:szCs w:val="24"/>
              </w:rPr>
            </w:pPr>
            <w:r w:rsidRPr="00D40208">
              <w:rPr>
                <w:rFonts w:eastAsia="Times New Roman" w:cs="Times New Roman"/>
                <w:color w:val="000000"/>
                <w:sz w:val="24"/>
                <w:szCs w:val="24"/>
              </w:rPr>
              <w:t>b) Đề án thành lập trường</w:t>
            </w:r>
            <w:r w:rsidRPr="00D40208">
              <w:rPr>
                <w:rFonts w:eastAsia="Times New Roman" w:cs="Times New Roman"/>
                <w:color w:val="000000"/>
                <w:sz w:val="24"/>
                <w:szCs w:val="24"/>
              </w:rPr>
              <w:br/>
              <w:t>c) Sơ yếu lý lịch kèm theo bản sao được cấp từ sổ gốc, bản sao được chứng thực từ bản chính hoặc bản sao kèm theo bản chính để đối chiếu văn bằng, chứng chỉ hợp lệ của người dự kiến làm hiệu trưởng;</w:t>
            </w:r>
          </w:p>
          <w:p w:rsidR="00D40208" w:rsidRPr="00D40208" w:rsidRDefault="00D40208" w:rsidP="00D40208">
            <w:pPr>
              <w:spacing w:after="0" w:line="15" w:lineRule="atLeast"/>
              <w:jc w:val="both"/>
              <w:rPr>
                <w:rFonts w:eastAsia="Times New Roman" w:cs="Times New Roman"/>
                <w:color w:val="000000"/>
                <w:sz w:val="24"/>
                <w:szCs w:val="24"/>
              </w:rPr>
            </w:pPr>
            <w:r w:rsidRPr="00E43695">
              <w:rPr>
                <w:rFonts w:eastAsia="Times New Roman" w:cs="Times New Roman"/>
                <w:b/>
                <w:bCs/>
                <w:color w:val="000000"/>
                <w:sz w:val="24"/>
                <w:szCs w:val="24"/>
              </w:rPr>
              <w:t>Số lượng hồ sơ</w:t>
            </w:r>
            <w:r w:rsidRPr="00D40208">
              <w:rPr>
                <w:rFonts w:eastAsia="Times New Roman" w:cs="Times New Roman"/>
                <w:color w:val="000000"/>
                <w:sz w:val="24"/>
                <w:szCs w:val="24"/>
              </w:rPr>
              <w:t>: 01 (bộ).</w:t>
            </w:r>
          </w:p>
        </w:tc>
      </w:tr>
      <w:tr w:rsidR="00D40208" w:rsidRPr="00D40208" w:rsidTr="00D40208">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D40208" w:rsidRPr="00D40208" w:rsidRDefault="00D40208" w:rsidP="00D40208">
            <w:pPr>
              <w:spacing w:after="0" w:line="15" w:lineRule="atLeast"/>
              <w:jc w:val="both"/>
              <w:rPr>
                <w:rFonts w:eastAsia="Times New Roman" w:cs="Times New Roman"/>
                <w:color w:val="000000"/>
                <w:sz w:val="24"/>
                <w:szCs w:val="24"/>
              </w:rPr>
            </w:pPr>
            <w:r w:rsidRPr="00E43695">
              <w:rPr>
                <w:rFonts w:eastAsia="Times New Roman" w:cs="Times New Roman"/>
                <w:color w:val="000000"/>
                <w:sz w:val="24"/>
                <w:szCs w:val="24"/>
              </w:rPr>
              <w:t>4</w:t>
            </w:r>
            <w:r w:rsidRPr="00D40208">
              <w:rPr>
                <w:rFonts w:eastAsia="Times New Roman" w:cs="Times New Roman"/>
                <w:color w:val="000000"/>
                <w:sz w:val="24"/>
                <w:szCs w:val="24"/>
              </w:rPr>
              <w:t xml:space="preserve"> Thời hạn giải quyết</w:t>
            </w:r>
          </w:p>
        </w:tc>
        <w:tc>
          <w:tcPr>
            <w:tcW w:w="7895"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D40208" w:rsidRPr="00D40208" w:rsidRDefault="00D40208" w:rsidP="00D40208">
            <w:pPr>
              <w:spacing w:after="0" w:line="15" w:lineRule="atLeast"/>
              <w:jc w:val="both"/>
              <w:rPr>
                <w:rFonts w:eastAsia="Times New Roman" w:cs="Times New Roman"/>
                <w:color w:val="000000"/>
                <w:sz w:val="24"/>
                <w:szCs w:val="24"/>
              </w:rPr>
            </w:pPr>
            <w:r w:rsidRPr="00D40208">
              <w:rPr>
                <w:rFonts w:eastAsia="Times New Roman" w:cs="Times New Roman"/>
                <w:color w:val="000000"/>
                <w:sz w:val="24"/>
                <w:szCs w:val="24"/>
              </w:rPr>
              <w:t>Trong thời hạn 40 ngày làm việc, kể từ ngày nhận đủ hồ sơ hợp lệ.</w:t>
            </w:r>
          </w:p>
        </w:tc>
      </w:tr>
      <w:tr w:rsidR="00D40208" w:rsidRPr="00D40208" w:rsidTr="00D40208">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D40208" w:rsidRPr="00D40208" w:rsidRDefault="00D40208" w:rsidP="00D40208">
            <w:pPr>
              <w:spacing w:after="0" w:line="15" w:lineRule="atLeast"/>
              <w:jc w:val="both"/>
              <w:rPr>
                <w:rFonts w:eastAsia="Times New Roman" w:cs="Times New Roman"/>
                <w:color w:val="000000"/>
                <w:sz w:val="24"/>
                <w:szCs w:val="24"/>
              </w:rPr>
            </w:pPr>
            <w:r w:rsidRPr="00E43695">
              <w:rPr>
                <w:rFonts w:eastAsia="Times New Roman" w:cs="Times New Roman"/>
                <w:color w:val="000000"/>
                <w:sz w:val="24"/>
                <w:szCs w:val="24"/>
              </w:rPr>
              <w:t>5</w:t>
            </w:r>
            <w:r w:rsidRPr="00D40208">
              <w:rPr>
                <w:rFonts w:eastAsia="Times New Roman" w:cs="Times New Roman"/>
                <w:color w:val="000000"/>
                <w:sz w:val="24"/>
                <w:szCs w:val="24"/>
              </w:rPr>
              <w:t xml:space="preserve"> Cơ quan thực hiện TTHC</w:t>
            </w:r>
          </w:p>
        </w:tc>
        <w:tc>
          <w:tcPr>
            <w:tcW w:w="78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D40208" w:rsidRPr="00D40208" w:rsidRDefault="00D40208" w:rsidP="00D40208">
            <w:pPr>
              <w:spacing w:after="0" w:line="15" w:lineRule="atLeast"/>
              <w:jc w:val="both"/>
              <w:rPr>
                <w:rFonts w:eastAsia="Times New Roman" w:cs="Times New Roman"/>
                <w:color w:val="000000"/>
                <w:sz w:val="24"/>
                <w:szCs w:val="24"/>
              </w:rPr>
            </w:pPr>
            <w:r w:rsidRPr="00D40208">
              <w:rPr>
                <w:rFonts w:eastAsia="Times New Roman" w:cs="Times New Roman"/>
                <w:color w:val="000000"/>
                <w:sz w:val="24"/>
                <w:szCs w:val="24"/>
              </w:rPr>
              <w:t>Cơ quan trực tiếp thực hiện TTHC: Phòng Giáo dục và Đào tạo</w:t>
            </w:r>
          </w:p>
        </w:tc>
      </w:tr>
      <w:tr w:rsidR="00D40208" w:rsidRPr="00D40208" w:rsidTr="00D40208">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D40208" w:rsidRPr="00D40208" w:rsidRDefault="00D40208" w:rsidP="00D40208">
            <w:pPr>
              <w:spacing w:after="0" w:line="15" w:lineRule="atLeast"/>
              <w:jc w:val="both"/>
              <w:rPr>
                <w:rFonts w:eastAsia="Times New Roman" w:cs="Times New Roman"/>
                <w:color w:val="000000"/>
                <w:sz w:val="24"/>
                <w:szCs w:val="24"/>
              </w:rPr>
            </w:pPr>
            <w:r w:rsidRPr="00E43695">
              <w:rPr>
                <w:rFonts w:eastAsia="Times New Roman" w:cs="Times New Roman"/>
                <w:color w:val="000000"/>
                <w:sz w:val="24"/>
                <w:szCs w:val="24"/>
              </w:rPr>
              <w:t>6</w:t>
            </w:r>
            <w:r w:rsidRPr="00D40208">
              <w:rPr>
                <w:rFonts w:eastAsia="Times New Roman" w:cs="Times New Roman"/>
                <w:color w:val="000000"/>
                <w:sz w:val="24"/>
                <w:szCs w:val="24"/>
              </w:rPr>
              <w:t xml:space="preserve"> Đối tượng thực hiện TTHC</w:t>
            </w:r>
          </w:p>
        </w:tc>
        <w:tc>
          <w:tcPr>
            <w:tcW w:w="7895"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D40208" w:rsidRPr="00D40208" w:rsidRDefault="00D40208" w:rsidP="00D40208">
            <w:pPr>
              <w:spacing w:after="0" w:line="15" w:lineRule="atLeast"/>
              <w:jc w:val="both"/>
              <w:rPr>
                <w:rFonts w:eastAsia="Times New Roman" w:cs="Times New Roman"/>
                <w:color w:val="000000"/>
                <w:sz w:val="24"/>
                <w:szCs w:val="24"/>
              </w:rPr>
            </w:pPr>
            <w:r w:rsidRPr="00D40208">
              <w:rPr>
                <w:rFonts w:eastAsia="Times New Roman" w:cs="Times New Roman"/>
                <w:color w:val="000000"/>
                <w:sz w:val="24"/>
                <w:szCs w:val="24"/>
              </w:rPr>
              <w:t>Cá nhân, đại diện hộ gia đình</w:t>
            </w:r>
          </w:p>
        </w:tc>
      </w:tr>
      <w:tr w:rsidR="00D40208" w:rsidRPr="00D40208" w:rsidTr="00D40208">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D40208" w:rsidRPr="00D40208" w:rsidRDefault="00D40208" w:rsidP="00D40208">
            <w:pPr>
              <w:spacing w:after="0" w:line="15" w:lineRule="atLeast"/>
              <w:jc w:val="both"/>
              <w:rPr>
                <w:rFonts w:eastAsia="Times New Roman" w:cs="Times New Roman"/>
                <w:color w:val="000000"/>
                <w:sz w:val="24"/>
                <w:szCs w:val="24"/>
              </w:rPr>
            </w:pPr>
            <w:r w:rsidRPr="00E43695">
              <w:rPr>
                <w:rFonts w:eastAsia="Times New Roman" w:cs="Times New Roman"/>
                <w:color w:val="000000"/>
                <w:sz w:val="24"/>
                <w:szCs w:val="24"/>
              </w:rPr>
              <w:lastRenderedPageBreak/>
              <w:t>7</w:t>
            </w:r>
            <w:r w:rsidRPr="00D40208">
              <w:rPr>
                <w:rFonts w:eastAsia="Times New Roman" w:cs="Times New Roman"/>
                <w:color w:val="000000"/>
                <w:sz w:val="24"/>
                <w:szCs w:val="24"/>
              </w:rPr>
              <w:t xml:space="preserve"> Mẫu đơn, mẫu tờ khai</w:t>
            </w:r>
          </w:p>
        </w:tc>
        <w:tc>
          <w:tcPr>
            <w:tcW w:w="78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D40208" w:rsidRPr="00D40208" w:rsidRDefault="00D40208" w:rsidP="00D40208">
            <w:pPr>
              <w:spacing w:after="0" w:line="15" w:lineRule="atLeast"/>
              <w:rPr>
                <w:rFonts w:eastAsia="Times New Roman" w:cs="Times New Roman"/>
                <w:color w:val="000000"/>
                <w:sz w:val="24"/>
                <w:szCs w:val="24"/>
              </w:rPr>
            </w:pPr>
            <w:r w:rsidRPr="00D40208">
              <w:rPr>
                <w:rFonts w:eastAsia="Times New Roman" w:cs="Times New Roman"/>
                <w:color w:val="000000"/>
                <w:sz w:val="24"/>
                <w:szCs w:val="24"/>
              </w:rPr>
              <w:t> </w:t>
            </w:r>
          </w:p>
        </w:tc>
      </w:tr>
      <w:tr w:rsidR="00D40208" w:rsidRPr="00D40208" w:rsidTr="00D40208">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D40208" w:rsidRPr="00D40208" w:rsidRDefault="00D40208" w:rsidP="00D40208">
            <w:pPr>
              <w:spacing w:after="0" w:line="15" w:lineRule="atLeast"/>
              <w:jc w:val="both"/>
              <w:rPr>
                <w:rFonts w:eastAsia="Times New Roman" w:cs="Times New Roman"/>
                <w:color w:val="000000"/>
                <w:sz w:val="24"/>
                <w:szCs w:val="24"/>
              </w:rPr>
            </w:pPr>
            <w:r w:rsidRPr="00E43695">
              <w:rPr>
                <w:rFonts w:eastAsia="Times New Roman" w:cs="Times New Roman"/>
                <w:color w:val="000000"/>
                <w:sz w:val="24"/>
                <w:szCs w:val="24"/>
              </w:rPr>
              <w:t>8</w:t>
            </w:r>
            <w:r w:rsidRPr="00D40208">
              <w:rPr>
                <w:rFonts w:eastAsia="Times New Roman" w:cs="Times New Roman"/>
                <w:color w:val="000000"/>
                <w:sz w:val="24"/>
                <w:szCs w:val="24"/>
              </w:rPr>
              <w:t xml:space="preserve"> Phí, lệ phí</w:t>
            </w:r>
            <w:r w:rsidRPr="00D40208">
              <w:rPr>
                <w:rFonts w:eastAsia="Times New Roman" w:cs="Times New Roman"/>
                <w:color w:val="000000"/>
                <w:sz w:val="24"/>
                <w:szCs w:val="24"/>
              </w:rPr>
              <w:br/>
              <w:t> </w:t>
            </w:r>
          </w:p>
        </w:tc>
        <w:tc>
          <w:tcPr>
            <w:tcW w:w="7895"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D40208" w:rsidRPr="00D40208" w:rsidRDefault="00D40208" w:rsidP="00D40208">
            <w:pPr>
              <w:spacing w:after="0" w:line="15" w:lineRule="atLeast"/>
              <w:jc w:val="both"/>
              <w:rPr>
                <w:rFonts w:eastAsia="Times New Roman" w:cs="Times New Roman"/>
                <w:color w:val="000000"/>
                <w:sz w:val="24"/>
                <w:szCs w:val="24"/>
              </w:rPr>
            </w:pPr>
            <w:r w:rsidRPr="00D40208">
              <w:rPr>
                <w:rFonts w:eastAsia="Times New Roman" w:cs="Times New Roman"/>
                <w:color w:val="000000"/>
                <w:sz w:val="24"/>
                <w:szCs w:val="24"/>
              </w:rPr>
              <w:t> </w:t>
            </w:r>
            <w:r w:rsidRPr="00E43695">
              <w:rPr>
                <w:rFonts w:eastAsia="Times New Roman" w:cs="Times New Roman"/>
                <w:color w:val="000000"/>
                <w:sz w:val="24"/>
                <w:szCs w:val="24"/>
              </w:rPr>
              <w:t>Không</w:t>
            </w:r>
          </w:p>
        </w:tc>
      </w:tr>
      <w:tr w:rsidR="00D40208" w:rsidRPr="00D40208" w:rsidTr="00D40208">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D40208" w:rsidRPr="00D40208" w:rsidRDefault="00D40208" w:rsidP="00D40208">
            <w:pPr>
              <w:spacing w:after="0" w:line="15" w:lineRule="atLeast"/>
              <w:jc w:val="both"/>
              <w:rPr>
                <w:rFonts w:eastAsia="Times New Roman" w:cs="Times New Roman"/>
                <w:color w:val="000000"/>
                <w:sz w:val="24"/>
                <w:szCs w:val="24"/>
              </w:rPr>
            </w:pPr>
            <w:r w:rsidRPr="00E43695">
              <w:rPr>
                <w:rFonts w:eastAsia="Times New Roman" w:cs="Times New Roman"/>
                <w:color w:val="000000"/>
                <w:sz w:val="24"/>
                <w:szCs w:val="24"/>
              </w:rPr>
              <w:t>9</w:t>
            </w:r>
            <w:r w:rsidRPr="00D40208">
              <w:rPr>
                <w:rFonts w:eastAsia="Times New Roman" w:cs="Times New Roman"/>
                <w:color w:val="000000"/>
                <w:sz w:val="24"/>
                <w:szCs w:val="24"/>
              </w:rPr>
              <w:t xml:space="preserve"> Kết quả</w:t>
            </w:r>
          </w:p>
        </w:tc>
        <w:tc>
          <w:tcPr>
            <w:tcW w:w="78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D40208" w:rsidRPr="00D40208" w:rsidRDefault="00D40208" w:rsidP="00D40208">
            <w:pPr>
              <w:spacing w:after="0" w:line="15" w:lineRule="atLeast"/>
              <w:jc w:val="both"/>
              <w:rPr>
                <w:rFonts w:eastAsia="Times New Roman" w:cs="Times New Roman"/>
                <w:color w:val="000000"/>
                <w:sz w:val="24"/>
                <w:szCs w:val="24"/>
              </w:rPr>
            </w:pPr>
            <w:r w:rsidRPr="00D40208">
              <w:rPr>
                <w:rFonts w:eastAsia="Times New Roman" w:cs="Times New Roman"/>
                <w:color w:val="000000"/>
                <w:sz w:val="24"/>
                <w:szCs w:val="24"/>
              </w:rPr>
              <w:t>Chủ tịch Ủy ban nhân dân cấp huyện quyết định thành lập hoặc cho phép thành lập đối với trường trung học cơ sở và trường phổ thông có nhiều cấp học có cấp học cao nhất là trung học cơ sở (sau đây gọi chung là trường trung học cơ sở)</w:t>
            </w:r>
          </w:p>
        </w:tc>
      </w:tr>
      <w:tr w:rsidR="00D40208" w:rsidRPr="00D40208" w:rsidTr="00D40208">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D40208" w:rsidRPr="00D40208" w:rsidRDefault="00D40208" w:rsidP="00D40208">
            <w:pPr>
              <w:spacing w:after="0" w:line="15" w:lineRule="atLeast"/>
              <w:jc w:val="both"/>
              <w:rPr>
                <w:rFonts w:eastAsia="Times New Roman" w:cs="Times New Roman"/>
                <w:color w:val="000000"/>
                <w:sz w:val="24"/>
                <w:szCs w:val="24"/>
              </w:rPr>
            </w:pPr>
            <w:r w:rsidRPr="00E43695">
              <w:rPr>
                <w:rFonts w:eastAsia="Times New Roman" w:cs="Times New Roman"/>
                <w:color w:val="000000"/>
                <w:sz w:val="24"/>
                <w:szCs w:val="24"/>
              </w:rPr>
              <w:t>10</w:t>
            </w:r>
            <w:r w:rsidRPr="00D40208">
              <w:rPr>
                <w:rFonts w:eastAsia="Times New Roman" w:cs="Times New Roman"/>
                <w:color w:val="000000"/>
                <w:sz w:val="24"/>
                <w:szCs w:val="24"/>
              </w:rPr>
              <w:t xml:space="preserve"> Yêu cầu hoặc điều kiện</w:t>
            </w:r>
            <w:r w:rsidRPr="00D40208">
              <w:rPr>
                <w:rFonts w:eastAsia="Times New Roman" w:cs="Times New Roman"/>
                <w:color w:val="000000"/>
                <w:sz w:val="24"/>
                <w:szCs w:val="24"/>
              </w:rPr>
              <w:br/>
              <w:t> </w:t>
            </w:r>
          </w:p>
        </w:tc>
        <w:tc>
          <w:tcPr>
            <w:tcW w:w="7895"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D40208" w:rsidRPr="00D40208" w:rsidRDefault="00D40208" w:rsidP="00D40208">
            <w:pPr>
              <w:spacing w:before="100" w:beforeAutospacing="1" w:after="100" w:afterAutospacing="1" w:line="240" w:lineRule="atLeast"/>
              <w:jc w:val="both"/>
              <w:rPr>
                <w:rFonts w:eastAsia="Times New Roman" w:cs="Times New Roman"/>
                <w:color w:val="000000"/>
                <w:sz w:val="24"/>
                <w:szCs w:val="24"/>
              </w:rPr>
            </w:pPr>
            <w:r w:rsidRPr="00D40208">
              <w:rPr>
                <w:rFonts w:eastAsia="Times New Roman" w:cs="Times New Roman"/>
                <w:color w:val="000000"/>
                <w:sz w:val="24"/>
                <w:szCs w:val="24"/>
              </w:rPr>
              <w:t>1. Có đề án thành lập trường phù hợp với quy hoạch phát triển kinh tế - xã hội và quy hoạch mạng lưới cơ sở giáo dục của địa phương đã được cơ quan quản lý nhà nước có thẩm quyền phê duyệt.</w:t>
            </w:r>
          </w:p>
          <w:p w:rsidR="00D40208" w:rsidRPr="00D40208" w:rsidRDefault="00D40208" w:rsidP="00D40208">
            <w:pPr>
              <w:spacing w:before="100" w:beforeAutospacing="1" w:after="100" w:afterAutospacing="1" w:line="15" w:lineRule="atLeast"/>
              <w:jc w:val="both"/>
              <w:rPr>
                <w:rFonts w:eastAsia="Times New Roman" w:cs="Times New Roman"/>
                <w:color w:val="000000"/>
                <w:sz w:val="24"/>
                <w:szCs w:val="24"/>
              </w:rPr>
            </w:pPr>
            <w:r w:rsidRPr="00D40208">
              <w:rPr>
                <w:rFonts w:eastAsia="Times New Roman" w:cs="Times New Roman"/>
                <w:color w:val="000000"/>
                <w:sz w:val="24"/>
                <w:szCs w:val="24"/>
              </w:rPr>
              <w:t>2. 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tc>
      </w:tr>
      <w:tr w:rsidR="00D40208" w:rsidRPr="00D40208" w:rsidTr="00D40208">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D40208" w:rsidRPr="00D40208" w:rsidRDefault="00D40208" w:rsidP="00D40208">
            <w:pPr>
              <w:spacing w:after="0" w:line="15" w:lineRule="atLeast"/>
              <w:jc w:val="both"/>
              <w:rPr>
                <w:rFonts w:eastAsia="Times New Roman" w:cs="Times New Roman"/>
                <w:color w:val="000000"/>
                <w:sz w:val="24"/>
                <w:szCs w:val="24"/>
              </w:rPr>
            </w:pPr>
            <w:r w:rsidRPr="00E43695">
              <w:rPr>
                <w:rFonts w:eastAsia="Times New Roman" w:cs="Times New Roman"/>
                <w:color w:val="000000"/>
                <w:sz w:val="24"/>
                <w:szCs w:val="24"/>
              </w:rPr>
              <w:t>11</w:t>
            </w:r>
            <w:r w:rsidRPr="00D40208">
              <w:rPr>
                <w:rFonts w:eastAsia="Times New Roman" w:cs="Times New Roman"/>
                <w:color w:val="000000"/>
                <w:sz w:val="24"/>
                <w:szCs w:val="24"/>
              </w:rPr>
              <w:t xml:space="preserve"> Căn cứ pháp lý của TTHC</w:t>
            </w:r>
            <w:r w:rsidRPr="00D40208">
              <w:rPr>
                <w:rFonts w:eastAsia="Times New Roman" w:cs="Times New Roman"/>
                <w:color w:val="000000"/>
                <w:sz w:val="24"/>
                <w:szCs w:val="24"/>
              </w:rPr>
              <w:br/>
              <w:t> </w:t>
            </w:r>
            <w:r w:rsidRPr="00D40208">
              <w:rPr>
                <w:rFonts w:eastAsia="Times New Roman" w:cs="Times New Roman"/>
                <w:color w:val="000000"/>
                <w:sz w:val="24"/>
                <w:szCs w:val="24"/>
              </w:rPr>
              <w:br/>
              <w:t> </w:t>
            </w:r>
          </w:p>
        </w:tc>
        <w:tc>
          <w:tcPr>
            <w:tcW w:w="78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D40208" w:rsidRPr="00D40208" w:rsidRDefault="00D40208" w:rsidP="00D40208">
            <w:pPr>
              <w:spacing w:after="0" w:line="15" w:lineRule="atLeast"/>
              <w:jc w:val="both"/>
              <w:rPr>
                <w:rFonts w:eastAsia="Times New Roman" w:cs="Times New Roman"/>
                <w:color w:val="000000"/>
                <w:sz w:val="24"/>
                <w:szCs w:val="24"/>
              </w:rPr>
            </w:pPr>
            <w:r w:rsidRPr="00D40208">
              <w:rPr>
                <w:rFonts w:eastAsia="Times New Roman" w:cs="Times New Roman"/>
                <w:color w:val="000000"/>
                <w:sz w:val="24"/>
                <w:szCs w:val="24"/>
              </w:rPr>
              <w:t>Nghị định số 46/2017/NĐ-CP ngày 21/4/2017 của Chính phủ quy định về điều kiện đầu tư và hoạt động trong lĩnh vực giáo dục</w:t>
            </w:r>
          </w:p>
        </w:tc>
      </w:tr>
      <w:bookmarkEnd w:id="0"/>
    </w:tbl>
    <w:p w:rsidR="003E268A" w:rsidRPr="00E43695" w:rsidRDefault="003E268A">
      <w:pPr>
        <w:rPr>
          <w:rFonts w:cs="Times New Roman"/>
          <w:sz w:val="24"/>
          <w:szCs w:val="24"/>
        </w:rPr>
      </w:pPr>
    </w:p>
    <w:sectPr w:rsidR="003E268A" w:rsidRPr="00E43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BCF"/>
    <w:rsid w:val="003E268A"/>
    <w:rsid w:val="00B74BCF"/>
    <w:rsid w:val="00D40208"/>
    <w:rsid w:val="00E43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40208"/>
    <w:rPr>
      <w:b/>
      <w:bCs/>
    </w:rPr>
  </w:style>
  <w:style w:type="paragraph" w:styleId="NormalWeb">
    <w:name w:val="Normal (Web)"/>
    <w:basedOn w:val="Normal"/>
    <w:uiPriority w:val="99"/>
    <w:unhideWhenUsed/>
    <w:rsid w:val="00D40208"/>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40208"/>
    <w:rPr>
      <w:b/>
      <w:bCs/>
    </w:rPr>
  </w:style>
  <w:style w:type="paragraph" w:styleId="NormalWeb">
    <w:name w:val="Normal (Web)"/>
    <w:basedOn w:val="Normal"/>
    <w:uiPriority w:val="99"/>
    <w:unhideWhenUsed/>
    <w:rsid w:val="00D40208"/>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4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4</cp:revision>
  <dcterms:created xsi:type="dcterms:W3CDTF">2019-12-29T02:16:00Z</dcterms:created>
  <dcterms:modified xsi:type="dcterms:W3CDTF">2019-12-29T02:19:00Z</dcterms:modified>
</cp:coreProperties>
</file>