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0" w:type="dxa"/>
        <w:shd w:val="clear" w:color="auto" w:fill="FFFFFF"/>
        <w:tblCellMar>
          <w:top w:w="15" w:type="dxa"/>
          <w:left w:w="15" w:type="dxa"/>
          <w:bottom w:w="15" w:type="dxa"/>
          <w:right w:w="15" w:type="dxa"/>
        </w:tblCellMar>
        <w:tblLook w:val="04A0" w:firstRow="1" w:lastRow="0" w:firstColumn="1" w:lastColumn="0" w:noHBand="0" w:noVBand="1"/>
      </w:tblPr>
      <w:tblGrid>
        <w:gridCol w:w="1819"/>
        <w:gridCol w:w="8321"/>
      </w:tblGrid>
      <w:tr w:rsidR="00CF74DC" w:rsidRPr="00CF74DC" w:rsidTr="00CF74DC">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CF74DC" w:rsidRPr="00CF74DC" w:rsidRDefault="00CF74DC" w:rsidP="00CF74DC">
            <w:pPr>
              <w:spacing w:after="0" w:line="15" w:lineRule="atLeast"/>
              <w:jc w:val="both"/>
              <w:rPr>
                <w:rFonts w:ascii="Arial" w:eastAsia="Times New Roman" w:hAnsi="Arial" w:cs="Arial"/>
                <w:color w:val="000000"/>
                <w:sz w:val="20"/>
                <w:szCs w:val="20"/>
              </w:rPr>
            </w:pPr>
            <w:r w:rsidRPr="00CF74DC">
              <w:rPr>
                <w:rFonts w:ascii="Arial" w:eastAsia="Times New Roman" w:hAnsi="Arial" w:cs="Arial"/>
                <w:color w:val="000000"/>
                <w:sz w:val="20"/>
                <w:szCs w:val="20"/>
              </w:rPr>
              <w:t>Thẩm quyền giải quyết</w:t>
            </w:r>
          </w:p>
        </w:tc>
        <w:tc>
          <w:tcPr>
            <w:tcW w:w="8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CF74DC" w:rsidRPr="00CF74DC" w:rsidRDefault="00CF74DC" w:rsidP="00CF74DC">
            <w:pPr>
              <w:spacing w:after="0" w:line="15" w:lineRule="atLeast"/>
              <w:rPr>
                <w:rFonts w:ascii="Arial" w:eastAsia="Times New Roman" w:hAnsi="Arial" w:cs="Arial"/>
                <w:color w:val="000000"/>
                <w:sz w:val="20"/>
                <w:szCs w:val="20"/>
              </w:rPr>
            </w:pPr>
            <w:r w:rsidRPr="00CF74DC">
              <w:rPr>
                <w:rFonts w:ascii="Arial" w:eastAsia="Times New Roman" w:hAnsi="Arial" w:cs="Arial"/>
                <w:color w:val="000000"/>
                <w:sz w:val="20"/>
                <w:szCs w:val="20"/>
              </w:rPr>
              <w:t>Phòng</w:t>
            </w:r>
            <w:r w:rsidRPr="00CF74DC">
              <w:rPr>
                <w:rFonts w:ascii="Arial" w:eastAsia="Times New Roman" w:hAnsi="Arial" w:cs="Arial"/>
                <w:b/>
                <w:bCs/>
                <w:color w:val="000000"/>
                <w:sz w:val="20"/>
                <w:szCs w:val="20"/>
              </w:rPr>
              <w:t> </w:t>
            </w:r>
            <w:r w:rsidRPr="00CF74DC">
              <w:rPr>
                <w:rFonts w:ascii="Arial" w:eastAsia="Times New Roman" w:hAnsi="Arial" w:cs="Arial"/>
                <w:color w:val="000000"/>
                <w:sz w:val="20"/>
                <w:szCs w:val="20"/>
              </w:rPr>
              <w:t>Giáo dục và Đào tạo</w:t>
            </w:r>
          </w:p>
        </w:tc>
      </w:tr>
      <w:tr w:rsidR="00CF74DC" w:rsidRPr="00CF74DC" w:rsidTr="00CF74DC">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CF74DC" w:rsidRPr="00CF74DC" w:rsidRDefault="00CF74DC" w:rsidP="00CF74DC">
            <w:pPr>
              <w:spacing w:after="0" w:line="15" w:lineRule="atLeast"/>
              <w:jc w:val="both"/>
              <w:rPr>
                <w:rFonts w:ascii="Arial" w:eastAsia="Times New Roman" w:hAnsi="Arial" w:cs="Arial"/>
                <w:color w:val="000000"/>
                <w:sz w:val="20"/>
                <w:szCs w:val="20"/>
              </w:rPr>
            </w:pPr>
            <w:r w:rsidRPr="00CF74DC">
              <w:rPr>
                <w:rFonts w:ascii="Arial" w:eastAsia="Times New Roman" w:hAnsi="Arial" w:cs="Arial"/>
                <w:color w:val="000000"/>
                <w:sz w:val="20"/>
                <w:szCs w:val="20"/>
              </w:rPr>
              <w:t>Lĩnh vực</w:t>
            </w:r>
          </w:p>
        </w:tc>
        <w:tc>
          <w:tcPr>
            <w:tcW w:w="8321"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CF74DC" w:rsidRPr="00CF74DC" w:rsidRDefault="00CF74DC" w:rsidP="00CF74DC">
            <w:pPr>
              <w:spacing w:after="0" w:line="15" w:lineRule="atLeast"/>
              <w:rPr>
                <w:rFonts w:ascii="Arial" w:eastAsia="Times New Roman" w:hAnsi="Arial" w:cs="Arial"/>
                <w:color w:val="000000"/>
                <w:sz w:val="20"/>
                <w:szCs w:val="20"/>
              </w:rPr>
            </w:pPr>
            <w:r w:rsidRPr="00CF74DC">
              <w:rPr>
                <w:rFonts w:ascii="Arial" w:eastAsia="Times New Roman" w:hAnsi="Arial" w:cs="Arial"/>
                <w:b/>
                <w:bCs/>
                <w:color w:val="000000"/>
                <w:sz w:val="20"/>
                <w:szCs w:val="20"/>
              </w:rPr>
              <w:t>Giáo dục và Đào tạo</w:t>
            </w:r>
          </w:p>
        </w:tc>
      </w:tr>
      <w:tr w:rsidR="00CF74DC" w:rsidRPr="00CF74DC" w:rsidTr="00CF74DC">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CF74DC" w:rsidRPr="00CF74DC" w:rsidRDefault="00CF74DC" w:rsidP="00CF74DC">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CF74DC">
              <w:rPr>
                <w:rFonts w:ascii="Arial" w:eastAsia="Times New Roman" w:hAnsi="Arial" w:cs="Arial"/>
                <w:color w:val="000000"/>
                <w:sz w:val="20"/>
                <w:szCs w:val="20"/>
              </w:rPr>
              <w:t xml:space="preserve"> Trình tự thực hiện</w:t>
            </w:r>
          </w:p>
        </w:tc>
        <w:tc>
          <w:tcPr>
            <w:tcW w:w="8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CF74DC" w:rsidRPr="00CF74DC" w:rsidRDefault="00CF74DC" w:rsidP="00CF74DC">
            <w:pPr>
              <w:spacing w:before="100" w:beforeAutospacing="1" w:after="100" w:afterAutospacing="1" w:line="240" w:lineRule="atLeast"/>
              <w:rPr>
                <w:rFonts w:ascii="Arial" w:eastAsia="Times New Roman" w:hAnsi="Arial" w:cs="Arial"/>
                <w:color w:val="000000"/>
                <w:sz w:val="20"/>
                <w:szCs w:val="20"/>
              </w:rPr>
            </w:pPr>
            <w:r w:rsidRPr="00CF74DC">
              <w:rPr>
                <w:rFonts w:ascii="Arial" w:eastAsia="Times New Roman" w:hAnsi="Arial" w:cs="Arial"/>
                <w:color w:val="000000"/>
                <w:sz w:val="20"/>
                <w:szCs w:val="20"/>
              </w:rPr>
              <w:t>- Ủy ban nhân dân cấp xã (đối với trường phổ thông dân tộc bán trú thành lập mới) hoặc nhà trường (đối với trường phổ thông dân tộc bán trú được thành lập trên cơ sở trường phổ thông) gửi trực tiếp hoặc qua bưu điện 01 bộ hồ sơ đến Phòng Giáo dục và Đào tạo;</w:t>
            </w:r>
          </w:p>
          <w:p w:rsidR="00CF74DC" w:rsidRPr="00CF74DC" w:rsidRDefault="00CF74DC" w:rsidP="00CF74DC">
            <w:pPr>
              <w:spacing w:before="100" w:beforeAutospacing="1" w:after="100" w:afterAutospacing="1" w:line="240" w:lineRule="atLeast"/>
              <w:rPr>
                <w:rFonts w:ascii="Arial" w:eastAsia="Times New Roman" w:hAnsi="Arial" w:cs="Arial"/>
                <w:color w:val="000000"/>
                <w:sz w:val="20"/>
                <w:szCs w:val="20"/>
              </w:rPr>
            </w:pPr>
            <w:r w:rsidRPr="00CF74DC">
              <w:rPr>
                <w:rFonts w:ascii="Arial" w:eastAsia="Times New Roman" w:hAnsi="Arial" w:cs="Arial"/>
                <w:color w:val="000000"/>
                <w:sz w:val="20"/>
                <w:szCs w:val="20"/>
              </w:rPr>
              <w:t>- Phòng Giáo dục và Đào tạo tiếp nhận hồ sơ. Trong thời hạn 20 ngày làm việc, kể từ ngày nhận đủ hồ sơ hợp lệ, nếu đủ điều kiện, cơ quan tiếp nhận hồ sơ có ý kiến bằng văn bản và gửi hồ sơ đề nghị sáp nhập, chia, tách hoặc cho phép sáp nhập, chia, tách trường đến Ủy ban nhân dân cấp huyện; nếu chưa đủ điều kiện thì có văn bản thông báo cho Ủy ban nhân dân cấp xã hoặc tổ chức, cá nhân đề nghị sáp nhập, chia, tách trường nêu rõ lý do;</w:t>
            </w:r>
          </w:p>
          <w:p w:rsidR="00CF74DC" w:rsidRPr="00CF74DC" w:rsidRDefault="00CF74DC" w:rsidP="00CF74DC">
            <w:pPr>
              <w:spacing w:before="100" w:beforeAutospacing="1" w:after="100" w:afterAutospacing="1" w:line="15" w:lineRule="atLeast"/>
              <w:rPr>
                <w:rFonts w:ascii="Arial" w:eastAsia="Times New Roman" w:hAnsi="Arial" w:cs="Arial"/>
                <w:color w:val="000000"/>
                <w:sz w:val="20"/>
                <w:szCs w:val="20"/>
              </w:rPr>
            </w:pPr>
            <w:r w:rsidRPr="00CF74DC">
              <w:rPr>
                <w:rFonts w:ascii="Arial" w:eastAsia="Times New Roman" w:hAnsi="Arial" w:cs="Arial"/>
                <w:color w:val="000000"/>
                <w:sz w:val="20"/>
                <w:szCs w:val="20"/>
              </w:rPr>
              <w:t>- Trong thời hạn 20 ngày làm việc, kể từ ngày nhận đủ hồ sơ hợp lệ, Ủy ban nhân dân cấp huyện quyết định sáp nhập, chia, tách hoặc cho phép sáp nhập, chia, tách trường; nếu chưa quyết định sáp nhập, chia, tách hoặc cho phép sáp nhập, chia, tách trường thì có văn bản thông báo cho cơ quan tiếp nhận hồ sơ và tổ chức, cá nhân đề nghị sáp nhập, chia, tách trường nêu rõ lý do.</w:t>
            </w:r>
          </w:p>
        </w:tc>
      </w:tr>
      <w:tr w:rsidR="00CF74DC" w:rsidRPr="00CF74DC" w:rsidTr="00CF74DC">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CF74DC" w:rsidRPr="00CF74DC" w:rsidRDefault="00CF74DC" w:rsidP="00CF74DC">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 xml:space="preserve">2 </w:t>
            </w:r>
            <w:r w:rsidRPr="00CF74DC">
              <w:rPr>
                <w:rFonts w:ascii="Arial" w:eastAsia="Times New Roman" w:hAnsi="Arial" w:cs="Arial"/>
                <w:color w:val="000000"/>
                <w:sz w:val="20"/>
                <w:szCs w:val="20"/>
              </w:rPr>
              <w:t>Cách thức thực hiện</w:t>
            </w:r>
          </w:p>
        </w:tc>
        <w:tc>
          <w:tcPr>
            <w:tcW w:w="8321"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CF74DC" w:rsidRPr="00CF74DC" w:rsidRDefault="00CF74DC" w:rsidP="00CF74DC">
            <w:pPr>
              <w:spacing w:after="0" w:line="15" w:lineRule="atLeast"/>
              <w:jc w:val="both"/>
              <w:rPr>
                <w:rFonts w:ascii="Arial" w:eastAsia="Times New Roman" w:hAnsi="Arial" w:cs="Arial"/>
                <w:color w:val="000000"/>
                <w:sz w:val="20"/>
                <w:szCs w:val="20"/>
              </w:rPr>
            </w:pPr>
            <w:r w:rsidRPr="00CF74DC">
              <w:rPr>
                <w:rFonts w:ascii="Arial" w:eastAsia="Times New Roman" w:hAnsi="Arial" w:cs="Arial"/>
                <w:color w:val="000000"/>
                <w:sz w:val="20"/>
                <w:szCs w:val="20"/>
              </w:rPr>
              <w:t>Bộ phận tiếp nhận và trả kết quả của UBND cấp huyện</w:t>
            </w:r>
          </w:p>
        </w:tc>
      </w:tr>
      <w:tr w:rsidR="00CF74DC" w:rsidRPr="00CF74DC" w:rsidTr="00CF74DC">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CF74DC" w:rsidRPr="00CF74DC" w:rsidRDefault="00CF74DC" w:rsidP="00CF74DC">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3</w:t>
            </w:r>
            <w:r w:rsidRPr="00CF74DC">
              <w:rPr>
                <w:rFonts w:ascii="Arial" w:eastAsia="Times New Roman" w:hAnsi="Arial" w:cs="Arial"/>
                <w:color w:val="000000"/>
                <w:sz w:val="20"/>
                <w:szCs w:val="20"/>
              </w:rPr>
              <w:t xml:space="preserve"> Hồ sơ</w:t>
            </w:r>
            <w:r w:rsidRPr="00CF74DC">
              <w:rPr>
                <w:rFonts w:ascii="Arial" w:eastAsia="Times New Roman" w:hAnsi="Arial" w:cs="Arial"/>
                <w:color w:val="000000"/>
                <w:sz w:val="20"/>
                <w:szCs w:val="20"/>
              </w:rPr>
              <w:br/>
              <w:t> </w:t>
            </w:r>
          </w:p>
        </w:tc>
        <w:tc>
          <w:tcPr>
            <w:tcW w:w="8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CF74DC" w:rsidRPr="00CF74DC" w:rsidRDefault="00CF74DC" w:rsidP="00CF74DC">
            <w:pPr>
              <w:spacing w:before="100" w:beforeAutospacing="1" w:after="100" w:afterAutospacing="1" w:line="240" w:lineRule="atLeast"/>
              <w:jc w:val="both"/>
              <w:rPr>
                <w:rFonts w:ascii="Arial" w:eastAsia="Times New Roman" w:hAnsi="Arial" w:cs="Arial"/>
                <w:color w:val="000000"/>
                <w:sz w:val="20"/>
                <w:szCs w:val="20"/>
              </w:rPr>
            </w:pPr>
            <w:r w:rsidRPr="00CF74DC">
              <w:rPr>
                <w:rFonts w:ascii="Arial" w:eastAsia="Times New Roman" w:hAnsi="Arial" w:cs="Arial"/>
                <w:color w:val="000000"/>
                <w:sz w:val="20"/>
                <w:szCs w:val="20"/>
              </w:rPr>
              <w:t>- Tờ trình về việc sáp nhập, chia, tách;</w:t>
            </w:r>
          </w:p>
          <w:p w:rsidR="00CF74DC" w:rsidRPr="00CF74DC" w:rsidRDefault="00CF74DC" w:rsidP="00CF74DC">
            <w:pPr>
              <w:spacing w:before="100" w:beforeAutospacing="1" w:after="100" w:afterAutospacing="1" w:line="240" w:lineRule="atLeast"/>
              <w:jc w:val="both"/>
              <w:rPr>
                <w:rFonts w:ascii="Arial" w:eastAsia="Times New Roman" w:hAnsi="Arial" w:cs="Arial"/>
                <w:color w:val="000000"/>
                <w:sz w:val="20"/>
                <w:szCs w:val="20"/>
              </w:rPr>
            </w:pPr>
            <w:r w:rsidRPr="00CF74DC">
              <w:rPr>
                <w:rFonts w:ascii="Arial" w:eastAsia="Times New Roman" w:hAnsi="Arial" w:cs="Arial"/>
                <w:color w:val="000000"/>
                <w:sz w:val="20"/>
                <w:szCs w:val="20"/>
              </w:rPr>
              <w:t>- Đề án sáp nhập, chia, tách;</w:t>
            </w:r>
          </w:p>
          <w:p w:rsidR="00CF74DC" w:rsidRPr="00CF74DC" w:rsidRDefault="00CF74DC" w:rsidP="00CF74DC">
            <w:pPr>
              <w:spacing w:before="100" w:beforeAutospacing="1" w:after="100" w:afterAutospacing="1" w:line="240" w:lineRule="atLeast"/>
              <w:jc w:val="both"/>
              <w:rPr>
                <w:rFonts w:ascii="Arial" w:eastAsia="Times New Roman" w:hAnsi="Arial" w:cs="Arial"/>
                <w:color w:val="000000"/>
                <w:sz w:val="20"/>
                <w:szCs w:val="20"/>
              </w:rPr>
            </w:pPr>
            <w:r w:rsidRPr="00CF74DC">
              <w:rPr>
                <w:rFonts w:ascii="Arial" w:eastAsia="Times New Roman" w:hAnsi="Arial" w:cs="Arial"/>
                <w:color w:val="000000"/>
                <w:sz w:val="20"/>
                <w:szCs w:val="20"/>
              </w:rPr>
              <w:t>- Các văn bản xác nhận về tài chính, tài sản, đất đai, các khoản vay, nợ phải trả và các vấn đề khác có liên quan;</w:t>
            </w:r>
          </w:p>
          <w:p w:rsidR="00CF74DC" w:rsidRPr="00CF74DC" w:rsidRDefault="00CF74DC" w:rsidP="00CF74DC">
            <w:pPr>
              <w:spacing w:before="100" w:beforeAutospacing="1" w:after="100" w:afterAutospacing="1" w:line="15" w:lineRule="atLeast"/>
              <w:jc w:val="both"/>
              <w:rPr>
                <w:rFonts w:ascii="Arial" w:eastAsia="Times New Roman" w:hAnsi="Arial" w:cs="Arial"/>
                <w:color w:val="000000"/>
                <w:sz w:val="20"/>
                <w:szCs w:val="20"/>
              </w:rPr>
            </w:pPr>
            <w:r w:rsidRPr="00CF74DC">
              <w:rPr>
                <w:rFonts w:ascii="Arial" w:eastAsia="Times New Roman" w:hAnsi="Arial" w:cs="Arial"/>
                <w:color w:val="000000"/>
                <w:sz w:val="20"/>
                <w:szCs w:val="20"/>
              </w:rPr>
              <w:t>- Ý kiến bằng văn bản của các cơ quan có liên quan</w:t>
            </w:r>
          </w:p>
        </w:tc>
      </w:tr>
      <w:tr w:rsidR="00CF74DC" w:rsidRPr="00CF74DC" w:rsidTr="00CF74DC">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CF74DC" w:rsidRPr="00CF74DC" w:rsidRDefault="00CF74DC" w:rsidP="00CF74DC">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4</w:t>
            </w:r>
            <w:r w:rsidRPr="00CF74DC">
              <w:rPr>
                <w:rFonts w:ascii="Arial" w:eastAsia="Times New Roman" w:hAnsi="Arial" w:cs="Arial"/>
                <w:color w:val="000000"/>
                <w:sz w:val="20"/>
                <w:szCs w:val="20"/>
              </w:rPr>
              <w:t xml:space="preserve"> Thời hạn giải quyết</w:t>
            </w:r>
          </w:p>
        </w:tc>
        <w:tc>
          <w:tcPr>
            <w:tcW w:w="8321"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CF74DC" w:rsidRPr="00CF74DC" w:rsidRDefault="00CF74DC" w:rsidP="00CF74DC">
            <w:pPr>
              <w:spacing w:after="0" w:line="15" w:lineRule="atLeast"/>
              <w:jc w:val="both"/>
              <w:rPr>
                <w:rFonts w:ascii="Arial" w:eastAsia="Times New Roman" w:hAnsi="Arial" w:cs="Arial"/>
                <w:color w:val="000000"/>
                <w:sz w:val="20"/>
                <w:szCs w:val="20"/>
              </w:rPr>
            </w:pPr>
            <w:r w:rsidRPr="00CF74DC">
              <w:rPr>
                <w:rFonts w:ascii="Arial" w:eastAsia="Times New Roman" w:hAnsi="Arial" w:cs="Arial"/>
                <w:color w:val="000000"/>
                <w:sz w:val="20"/>
                <w:szCs w:val="20"/>
              </w:rPr>
              <w:t> 40 ngày làm việc</w:t>
            </w:r>
          </w:p>
        </w:tc>
      </w:tr>
      <w:tr w:rsidR="00CF74DC" w:rsidRPr="00CF74DC" w:rsidTr="00CF74DC">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CF74DC" w:rsidRPr="00CF74DC" w:rsidRDefault="00CF74DC" w:rsidP="00CF74DC">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5</w:t>
            </w:r>
            <w:r w:rsidRPr="00CF74DC">
              <w:rPr>
                <w:rFonts w:ascii="Arial" w:eastAsia="Times New Roman" w:hAnsi="Arial" w:cs="Arial"/>
                <w:color w:val="000000"/>
                <w:sz w:val="20"/>
                <w:szCs w:val="20"/>
              </w:rPr>
              <w:t xml:space="preserve"> Cơ quan thực hiện TTHC</w:t>
            </w:r>
          </w:p>
        </w:tc>
        <w:tc>
          <w:tcPr>
            <w:tcW w:w="8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CF74DC" w:rsidRPr="00CF74DC" w:rsidRDefault="00CF74DC" w:rsidP="00CF74DC">
            <w:pPr>
              <w:spacing w:after="0" w:line="15" w:lineRule="atLeast"/>
              <w:jc w:val="both"/>
              <w:rPr>
                <w:rFonts w:ascii="Arial" w:eastAsia="Times New Roman" w:hAnsi="Arial" w:cs="Arial"/>
                <w:color w:val="000000"/>
                <w:sz w:val="20"/>
                <w:szCs w:val="20"/>
              </w:rPr>
            </w:pPr>
            <w:r w:rsidRPr="00CF74DC">
              <w:rPr>
                <w:rFonts w:ascii="Arial" w:eastAsia="Times New Roman" w:hAnsi="Arial" w:cs="Arial"/>
                <w:color w:val="000000"/>
                <w:sz w:val="20"/>
                <w:szCs w:val="20"/>
              </w:rPr>
              <w:t>a) Ủy ban nhân dân cấp xã, b) Tổ chức hoặc cá nhân</w:t>
            </w:r>
          </w:p>
        </w:tc>
      </w:tr>
      <w:tr w:rsidR="00CF74DC" w:rsidRPr="00CF74DC" w:rsidTr="00CF74DC">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CF74DC" w:rsidRPr="00CF74DC" w:rsidRDefault="00CF74DC" w:rsidP="00CF74DC">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6</w:t>
            </w:r>
            <w:r w:rsidRPr="00CF74DC">
              <w:rPr>
                <w:rFonts w:ascii="Arial" w:eastAsia="Times New Roman" w:hAnsi="Arial" w:cs="Arial"/>
                <w:color w:val="000000"/>
                <w:sz w:val="20"/>
                <w:szCs w:val="20"/>
              </w:rPr>
              <w:t xml:space="preserve"> Đối tượng thực hiện TTHC</w:t>
            </w:r>
          </w:p>
        </w:tc>
        <w:tc>
          <w:tcPr>
            <w:tcW w:w="8321"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7"/>
            </w:tblGrid>
            <w:tr w:rsidR="00CF74DC" w:rsidRPr="00CF74DC">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105" w:type="dxa"/>
                    <w:left w:w="75" w:type="dxa"/>
                    <w:bottom w:w="105" w:type="dxa"/>
                    <w:right w:w="75" w:type="dxa"/>
                  </w:tcMar>
                  <w:vAlign w:val="center"/>
                  <w:hideMark/>
                </w:tcPr>
                <w:p w:rsidR="00CF74DC" w:rsidRPr="00CF74DC" w:rsidRDefault="00CF74DC" w:rsidP="00CF74DC">
                  <w:pPr>
                    <w:spacing w:after="0" w:line="240" w:lineRule="atLeast"/>
                    <w:jc w:val="center"/>
                    <w:rPr>
                      <w:rFonts w:ascii="Arial" w:eastAsia="Times New Roman" w:hAnsi="Arial" w:cs="Arial"/>
                      <w:sz w:val="20"/>
                      <w:szCs w:val="20"/>
                    </w:rPr>
                  </w:pPr>
                  <w:r w:rsidRPr="00CF74DC">
                    <w:rPr>
                      <w:rFonts w:ascii="Arial" w:eastAsia="Times New Roman" w:hAnsi="Arial" w:cs="Arial"/>
                      <w:sz w:val="20"/>
                      <w:szCs w:val="20"/>
                    </w:rPr>
                    <w:t>Tổ chức, cá nhân</w:t>
                  </w:r>
                </w:p>
              </w:tc>
            </w:tr>
          </w:tbl>
          <w:p w:rsidR="00CF74DC" w:rsidRPr="00CF74DC" w:rsidRDefault="00CF74DC" w:rsidP="00CF74DC">
            <w:pPr>
              <w:spacing w:after="0" w:line="15" w:lineRule="atLeast"/>
              <w:jc w:val="both"/>
              <w:rPr>
                <w:rFonts w:ascii="Arial" w:eastAsia="Times New Roman" w:hAnsi="Arial" w:cs="Arial"/>
                <w:color w:val="000000"/>
                <w:sz w:val="20"/>
                <w:szCs w:val="20"/>
              </w:rPr>
            </w:pPr>
          </w:p>
        </w:tc>
      </w:tr>
      <w:tr w:rsidR="00CF74DC" w:rsidRPr="00CF74DC" w:rsidTr="00CF74DC">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CF74DC" w:rsidRPr="00CF74DC" w:rsidRDefault="00CF74DC" w:rsidP="00CF74DC">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7</w:t>
            </w:r>
            <w:r w:rsidRPr="00CF74DC">
              <w:rPr>
                <w:rFonts w:ascii="Arial" w:eastAsia="Times New Roman" w:hAnsi="Arial" w:cs="Arial"/>
                <w:color w:val="000000"/>
                <w:sz w:val="20"/>
                <w:szCs w:val="20"/>
              </w:rPr>
              <w:t xml:space="preserve"> Mẫu đơn, mẫu tờ khai</w:t>
            </w:r>
          </w:p>
        </w:tc>
        <w:tc>
          <w:tcPr>
            <w:tcW w:w="8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CF74DC" w:rsidRPr="00CF74DC" w:rsidRDefault="00CF74DC" w:rsidP="00CF74DC">
            <w:pPr>
              <w:spacing w:after="0" w:line="15" w:lineRule="atLeast"/>
              <w:rPr>
                <w:rFonts w:ascii="Arial" w:eastAsia="Times New Roman" w:hAnsi="Arial" w:cs="Arial"/>
                <w:color w:val="000000"/>
                <w:sz w:val="20"/>
                <w:szCs w:val="20"/>
              </w:rPr>
            </w:pPr>
            <w:r w:rsidRPr="00CF74DC">
              <w:rPr>
                <w:rFonts w:ascii="Arial" w:eastAsia="Times New Roman" w:hAnsi="Arial" w:cs="Arial"/>
                <w:color w:val="000000"/>
                <w:sz w:val="20"/>
                <w:szCs w:val="20"/>
              </w:rPr>
              <w:t> </w:t>
            </w:r>
          </w:p>
        </w:tc>
      </w:tr>
      <w:tr w:rsidR="00CF74DC" w:rsidRPr="00CF74DC" w:rsidTr="00CF74DC">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CF74DC" w:rsidRPr="00CF74DC" w:rsidRDefault="00CF74DC" w:rsidP="00CF74DC">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8</w:t>
            </w:r>
            <w:r w:rsidRPr="00CF74DC">
              <w:rPr>
                <w:rFonts w:ascii="Arial" w:eastAsia="Times New Roman" w:hAnsi="Arial" w:cs="Arial"/>
                <w:color w:val="000000"/>
                <w:sz w:val="20"/>
                <w:szCs w:val="20"/>
              </w:rPr>
              <w:t xml:space="preserve"> Phí, lệ phí</w:t>
            </w:r>
            <w:r w:rsidRPr="00CF74DC">
              <w:rPr>
                <w:rFonts w:ascii="Arial" w:eastAsia="Times New Roman" w:hAnsi="Arial" w:cs="Arial"/>
                <w:color w:val="000000"/>
                <w:sz w:val="20"/>
                <w:szCs w:val="20"/>
              </w:rPr>
              <w:br/>
              <w:t> </w:t>
            </w:r>
          </w:p>
        </w:tc>
        <w:tc>
          <w:tcPr>
            <w:tcW w:w="8321"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CF74DC" w:rsidRPr="00CF74DC" w:rsidRDefault="00CF74DC" w:rsidP="00CF74DC">
            <w:pPr>
              <w:spacing w:after="0" w:line="15" w:lineRule="atLeast"/>
              <w:jc w:val="both"/>
              <w:rPr>
                <w:rFonts w:ascii="Arial" w:eastAsia="Times New Roman" w:hAnsi="Arial" w:cs="Arial"/>
                <w:color w:val="000000"/>
                <w:sz w:val="20"/>
                <w:szCs w:val="20"/>
              </w:rPr>
            </w:pPr>
            <w:r w:rsidRPr="00CF74DC">
              <w:rPr>
                <w:rFonts w:ascii="Arial" w:eastAsia="Times New Roman" w:hAnsi="Arial" w:cs="Arial"/>
                <w:color w:val="000000"/>
                <w:sz w:val="20"/>
                <w:szCs w:val="20"/>
              </w:rPr>
              <w:t> </w:t>
            </w:r>
          </w:p>
        </w:tc>
      </w:tr>
      <w:tr w:rsidR="00CF74DC" w:rsidRPr="00CF74DC" w:rsidTr="00CF74DC">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CF74DC" w:rsidRPr="00CF74DC" w:rsidRDefault="00CF74DC" w:rsidP="00CF74DC">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9</w:t>
            </w:r>
            <w:r w:rsidRPr="00CF74DC">
              <w:rPr>
                <w:rFonts w:ascii="Arial" w:eastAsia="Times New Roman" w:hAnsi="Arial" w:cs="Arial"/>
                <w:color w:val="000000"/>
                <w:sz w:val="20"/>
                <w:szCs w:val="20"/>
              </w:rPr>
              <w:t xml:space="preserve"> Kết quả</w:t>
            </w:r>
          </w:p>
        </w:tc>
        <w:tc>
          <w:tcPr>
            <w:tcW w:w="8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CF74DC" w:rsidRPr="00CF74DC" w:rsidRDefault="00CF74DC" w:rsidP="00CF74DC">
            <w:pPr>
              <w:spacing w:after="0" w:line="15" w:lineRule="atLeast"/>
              <w:jc w:val="both"/>
              <w:rPr>
                <w:rFonts w:ascii="Arial" w:eastAsia="Times New Roman" w:hAnsi="Arial" w:cs="Arial"/>
                <w:color w:val="000000"/>
                <w:sz w:val="20"/>
                <w:szCs w:val="20"/>
              </w:rPr>
            </w:pPr>
            <w:r w:rsidRPr="00CF74DC">
              <w:rPr>
                <w:rFonts w:ascii="Arial" w:eastAsia="Times New Roman" w:hAnsi="Arial" w:cs="Arial"/>
                <w:color w:val="000000"/>
                <w:sz w:val="20"/>
                <w:szCs w:val="20"/>
              </w:rPr>
              <w:t>Quyết định sáp nhập, chia, tách trường phổ thông dân tộc bán trú của Chủ tịch Ủy ban nhân dân cấp huyện</w:t>
            </w:r>
          </w:p>
        </w:tc>
      </w:tr>
      <w:tr w:rsidR="00CF74DC" w:rsidRPr="00CF74DC" w:rsidTr="00CF74DC">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CF74DC" w:rsidRPr="00CF74DC" w:rsidRDefault="00CF74DC" w:rsidP="00CF74DC">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10</w:t>
            </w:r>
            <w:r w:rsidRPr="00CF74DC">
              <w:rPr>
                <w:rFonts w:ascii="Arial" w:eastAsia="Times New Roman" w:hAnsi="Arial" w:cs="Arial"/>
                <w:color w:val="000000"/>
                <w:sz w:val="20"/>
                <w:szCs w:val="20"/>
              </w:rPr>
              <w:t xml:space="preserve"> Yêu cầu hoặc điều kiện</w:t>
            </w:r>
            <w:r w:rsidRPr="00CF74DC">
              <w:rPr>
                <w:rFonts w:ascii="Arial" w:eastAsia="Times New Roman" w:hAnsi="Arial" w:cs="Arial"/>
                <w:color w:val="000000"/>
                <w:sz w:val="20"/>
                <w:szCs w:val="20"/>
              </w:rPr>
              <w:br/>
            </w:r>
            <w:r w:rsidRPr="00CF74DC">
              <w:rPr>
                <w:rFonts w:ascii="Arial" w:eastAsia="Times New Roman" w:hAnsi="Arial" w:cs="Arial"/>
                <w:color w:val="000000"/>
                <w:sz w:val="20"/>
                <w:szCs w:val="20"/>
              </w:rPr>
              <w:lastRenderedPageBreak/>
              <w:t> </w:t>
            </w:r>
          </w:p>
        </w:tc>
        <w:tc>
          <w:tcPr>
            <w:tcW w:w="8321"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CF74DC" w:rsidRPr="00CF74DC" w:rsidRDefault="00CF74DC" w:rsidP="00CF74DC">
            <w:pPr>
              <w:spacing w:before="100" w:beforeAutospacing="1" w:after="100" w:afterAutospacing="1" w:line="240" w:lineRule="atLeast"/>
              <w:jc w:val="both"/>
              <w:rPr>
                <w:rFonts w:ascii="Arial" w:eastAsia="Times New Roman" w:hAnsi="Arial" w:cs="Arial"/>
                <w:color w:val="000000"/>
                <w:sz w:val="20"/>
                <w:szCs w:val="20"/>
              </w:rPr>
            </w:pPr>
            <w:r w:rsidRPr="00CF74DC">
              <w:rPr>
                <w:rFonts w:ascii="Arial" w:eastAsia="Times New Roman" w:hAnsi="Arial" w:cs="Arial"/>
                <w:color w:val="000000"/>
                <w:sz w:val="20"/>
                <w:szCs w:val="20"/>
              </w:rPr>
              <w:lastRenderedPageBreak/>
              <w:t xml:space="preserve">- Phù hợp với quy hoạch mạng lưới cơ sở giáo dục được cơ quan quản lý nhà nước có </w:t>
            </w:r>
            <w:r w:rsidRPr="00CF74DC">
              <w:rPr>
                <w:rFonts w:ascii="Arial" w:eastAsia="Times New Roman" w:hAnsi="Arial" w:cs="Arial"/>
                <w:color w:val="000000"/>
                <w:sz w:val="20"/>
                <w:szCs w:val="20"/>
              </w:rPr>
              <w:lastRenderedPageBreak/>
              <w:t>thẩm quyền phê duyệt và đáp ứng yêu cầu phát triển kinh tế - xã hội của địa phương;</w:t>
            </w:r>
          </w:p>
          <w:p w:rsidR="00CF74DC" w:rsidRPr="00CF74DC" w:rsidRDefault="00CF74DC" w:rsidP="00CF74DC">
            <w:pPr>
              <w:spacing w:before="100" w:beforeAutospacing="1" w:after="100" w:afterAutospacing="1" w:line="240" w:lineRule="atLeast"/>
              <w:jc w:val="both"/>
              <w:rPr>
                <w:rFonts w:ascii="Arial" w:eastAsia="Times New Roman" w:hAnsi="Arial" w:cs="Arial"/>
                <w:color w:val="000000"/>
                <w:sz w:val="20"/>
                <w:szCs w:val="20"/>
              </w:rPr>
            </w:pPr>
            <w:r w:rsidRPr="00CF74DC">
              <w:rPr>
                <w:rFonts w:ascii="Arial" w:eastAsia="Times New Roman" w:hAnsi="Arial" w:cs="Arial"/>
                <w:color w:val="000000"/>
                <w:sz w:val="20"/>
                <w:szCs w:val="20"/>
              </w:rPr>
              <w:t>- Bảo đảm an toàn và quyền, lợi ích hợp pháp của học sinh, góp phần nâng cao chất lượng và hiệu quả giáo dục;</w:t>
            </w:r>
          </w:p>
          <w:p w:rsidR="00CF74DC" w:rsidRPr="00CF74DC" w:rsidRDefault="00CF74DC" w:rsidP="00CF74DC">
            <w:pPr>
              <w:spacing w:before="100" w:beforeAutospacing="1" w:after="100" w:afterAutospacing="1" w:line="15" w:lineRule="atLeast"/>
              <w:jc w:val="both"/>
              <w:rPr>
                <w:rFonts w:ascii="Arial" w:eastAsia="Times New Roman" w:hAnsi="Arial" w:cs="Arial"/>
                <w:color w:val="000000"/>
                <w:sz w:val="20"/>
                <w:szCs w:val="20"/>
              </w:rPr>
            </w:pPr>
            <w:r w:rsidRPr="00CF74DC">
              <w:rPr>
                <w:rFonts w:ascii="Arial" w:eastAsia="Times New Roman" w:hAnsi="Arial" w:cs="Arial"/>
                <w:color w:val="000000"/>
                <w:sz w:val="20"/>
                <w:szCs w:val="20"/>
              </w:rPr>
              <w:t>- Bảo đảm quyền, lợi ích hợp pháp của giáo viên, cán bộ quản lý và nhân viên</w:t>
            </w:r>
          </w:p>
        </w:tc>
      </w:tr>
      <w:tr w:rsidR="00CF74DC" w:rsidRPr="00CF74DC" w:rsidTr="00CF74DC">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CF74DC" w:rsidRPr="00CF74DC" w:rsidRDefault="00CF74DC" w:rsidP="00CF74DC">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11</w:t>
            </w:r>
            <w:r w:rsidRPr="00CF74DC">
              <w:rPr>
                <w:rFonts w:ascii="Arial" w:eastAsia="Times New Roman" w:hAnsi="Arial" w:cs="Arial"/>
                <w:color w:val="000000"/>
                <w:sz w:val="20"/>
                <w:szCs w:val="20"/>
              </w:rPr>
              <w:t xml:space="preserve"> Căn cứ pháp lý của TTHC</w:t>
            </w:r>
            <w:r w:rsidRPr="00CF74DC">
              <w:rPr>
                <w:rFonts w:ascii="Arial" w:eastAsia="Times New Roman" w:hAnsi="Arial" w:cs="Arial"/>
                <w:color w:val="000000"/>
                <w:sz w:val="20"/>
                <w:szCs w:val="20"/>
              </w:rPr>
              <w:br/>
              <w:t> </w:t>
            </w:r>
            <w:r w:rsidRPr="00CF74DC">
              <w:rPr>
                <w:rFonts w:ascii="Arial" w:eastAsia="Times New Roman" w:hAnsi="Arial" w:cs="Arial"/>
                <w:color w:val="000000"/>
                <w:sz w:val="20"/>
                <w:szCs w:val="20"/>
              </w:rPr>
              <w:br/>
              <w:t> </w:t>
            </w:r>
          </w:p>
        </w:tc>
        <w:tc>
          <w:tcPr>
            <w:tcW w:w="8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CF74DC" w:rsidRPr="00CF74DC" w:rsidRDefault="00CF74DC" w:rsidP="00CF74DC">
            <w:pPr>
              <w:spacing w:after="0" w:line="15" w:lineRule="atLeast"/>
              <w:jc w:val="both"/>
              <w:rPr>
                <w:rFonts w:ascii="Arial" w:eastAsia="Times New Roman" w:hAnsi="Arial" w:cs="Arial"/>
                <w:color w:val="000000"/>
                <w:sz w:val="20"/>
                <w:szCs w:val="20"/>
              </w:rPr>
            </w:pPr>
            <w:r w:rsidRPr="00CF74DC">
              <w:rPr>
                <w:rFonts w:ascii="Arial" w:eastAsia="Times New Roman" w:hAnsi="Arial" w:cs="Arial"/>
                <w:color w:val="000000"/>
                <w:sz w:val="20"/>
                <w:szCs w:val="20"/>
              </w:rPr>
              <w:t>Nghị định số 46/2017/NĐ-CP ngày 21/4/2017 của Chính phủ quy định về điều kiện đầu tư và hoạt động trong lĩnh vực giáo dục</w:t>
            </w:r>
          </w:p>
        </w:tc>
      </w:tr>
    </w:tbl>
    <w:p w:rsidR="003E268A" w:rsidRDefault="003E268A">
      <w:bookmarkStart w:id="0" w:name="_GoBack"/>
      <w:bookmarkEnd w:id="0"/>
    </w:p>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4DC"/>
    <w:rsid w:val="003E268A"/>
    <w:rsid w:val="00CF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74DC"/>
    <w:rPr>
      <w:b/>
      <w:bCs/>
    </w:rPr>
  </w:style>
  <w:style w:type="paragraph" w:styleId="NormalWeb">
    <w:name w:val="Normal (Web)"/>
    <w:basedOn w:val="Normal"/>
    <w:uiPriority w:val="99"/>
    <w:unhideWhenUsed/>
    <w:rsid w:val="00CF74DC"/>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74DC"/>
    <w:rPr>
      <w:b/>
      <w:bCs/>
    </w:rPr>
  </w:style>
  <w:style w:type="paragraph" w:styleId="NormalWeb">
    <w:name w:val="Normal (Web)"/>
    <w:basedOn w:val="Normal"/>
    <w:uiPriority w:val="99"/>
    <w:unhideWhenUsed/>
    <w:rsid w:val="00CF74DC"/>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25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2019-12-29T02:22:00Z</dcterms:created>
  <dcterms:modified xsi:type="dcterms:W3CDTF">2019-12-29T02:23:00Z</dcterms:modified>
</cp:coreProperties>
</file>