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8"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8179"/>
      </w:tblGrid>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Thẩm quyền giải quyết</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rPr>
                <w:rFonts w:ascii="Arial" w:eastAsia="Times New Roman" w:hAnsi="Arial" w:cs="Arial"/>
                <w:color w:val="000000"/>
                <w:sz w:val="20"/>
                <w:szCs w:val="20"/>
              </w:rPr>
            </w:pPr>
            <w:r w:rsidRPr="002177D4">
              <w:rPr>
                <w:rFonts w:ascii="Arial" w:eastAsia="Times New Roman" w:hAnsi="Arial" w:cs="Arial"/>
                <w:color w:val="000000"/>
                <w:sz w:val="20"/>
                <w:szCs w:val="20"/>
              </w:rPr>
              <w:t>Phòng</w:t>
            </w:r>
            <w:r w:rsidRPr="002177D4">
              <w:rPr>
                <w:rFonts w:ascii="Arial" w:eastAsia="Times New Roman" w:hAnsi="Arial" w:cs="Arial"/>
                <w:b/>
                <w:bCs/>
                <w:color w:val="000000"/>
                <w:sz w:val="20"/>
                <w:szCs w:val="20"/>
              </w:rPr>
              <w:t> </w:t>
            </w:r>
            <w:r w:rsidRPr="002177D4">
              <w:rPr>
                <w:rFonts w:ascii="Arial" w:eastAsia="Times New Roman" w:hAnsi="Arial" w:cs="Arial"/>
                <w:color w:val="000000"/>
                <w:sz w:val="20"/>
                <w:szCs w:val="20"/>
              </w:rPr>
              <w:t>Giáo dục và Đào tạo</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Lĩnh vực</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rPr>
                <w:rFonts w:ascii="Arial" w:eastAsia="Times New Roman" w:hAnsi="Arial" w:cs="Arial"/>
                <w:color w:val="000000"/>
                <w:sz w:val="20"/>
                <w:szCs w:val="20"/>
              </w:rPr>
            </w:pPr>
            <w:r w:rsidRPr="002177D4">
              <w:rPr>
                <w:rFonts w:ascii="Arial" w:eastAsia="Times New Roman" w:hAnsi="Arial" w:cs="Arial"/>
                <w:b/>
                <w:bCs/>
                <w:color w:val="000000"/>
                <w:sz w:val="20"/>
                <w:szCs w:val="20"/>
              </w:rPr>
              <w:t>Giáo dục và Đào tạo</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177D4">
              <w:rPr>
                <w:rFonts w:ascii="Arial" w:eastAsia="Times New Roman" w:hAnsi="Arial" w:cs="Arial"/>
                <w:color w:val="000000"/>
                <w:sz w:val="20"/>
                <w:szCs w:val="20"/>
              </w:rPr>
              <w:t xml:space="preserve"> Trình tự thực hiện</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before="100" w:beforeAutospacing="1" w:after="100" w:afterAutospacing="1" w:line="240" w:lineRule="atLeast"/>
              <w:rPr>
                <w:rFonts w:ascii="Arial" w:eastAsia="Times New Roman" w:hAnsi="Arial" w:cs="Arial"/>
                <w:color w:val="000000"/>
                <w:sz w:val="20"/>
                <w:szCs w:val="20"/>
              </w:rPr>
            </w:pPr>
            <w:r w:rsidRPr="002177D4">
              <w:rPr>
                <w:rFonts w:ascii="Arial" w:eastAsia="Times New Roman" w:hAnsi="Arial" w:cs="Arial"/>
                <w:color w:val="000000"/>
                <w:sz w:val="20"/>
                <w:szCs w:val="20"/>
              </w:rPr>
              <w:t>- Trường phổ thông dân tộc bán trú gửi tờ trình đề nghị cho phép chuyển đổi đến Phòng Giáo dục và Đào tạo. Trong tờ trình cần nêu rõ phương án sử dụng cơ sở vật chất của trường, chế độ chính sách đối với học sinh, giáo viên, cán bộ quản lý, nhân viên sau khi trường chuyển đổi;</w:t>
            </w:r>
          </w:p>
          <w:p w:rsidR="002177D4" w:rsidRPr="002177D4" w:rsidRDefault="002177D4" w:rsidP="002177D4">
            <w:pPr>
              <w:spacing w:before="100" w:beforeAutospacing="1" w:after="100" w:afterAutospacing="1" w:line="15" w:lineRule="atLeast"/>
              <w:rPr>
                <w:rFonts w:ascii="Arial" w:eastAsia="Times New Roman" w:hAnsi="Arial" w:cs="Arial"/>
                <w:color w:val="000000"/>
                <w:sz w:val="20"/>
                <w:szCs w:val="20"/>
              </w:rPr>
            </w:pPr>
            <w:r w:rsidRPr="002177D4">
              <w:rPr>
                <w:rFonts w:ascii="Arial" w:eastAsia="Times New Roman" w:hAnsi="Arial" w:cs="Arial"/>
                <w:color w:val="000000"/>
                <w:sz w:val="20"/>
                <w:szCs w:val="20"/>
              </w:rPr>
              <w:t>- Phòng Giáo dục và Đào tạo tiếp nhận hồ sơ, chủ trì phối hợp với các cơ quan có liên quan ở cấp huyện thẩm định và đề nghị Chủ tịch Ủy ban nhân dân cấp huyện ra quyết định chuyển đổi trường phổ thông dân tộc bán trú thành trường phổ thông công lập.</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177D4">
              <w:rPr>
                <w:rFonts w:ascii="Arial" w:eastAsia="Times New Roman" w:hAnsi="Arial" w:cs="Arial"/>
                <w:color w:val="000000"/>
                <w:sz w:val="20"/>
                <w:szCs w:val="20"/>
              </w:rPr>
              <w:t xml:space="preserve"> Cách thức thực hiện</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Bộ phận tiếp nhận và trả kết quả của UBND cấp huyện</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2177D4">
              <w:rPr>
                <w:rFonts w:ascii="Arial" w:eastAsia="Times New Roman" w:hAnsi="Arial" w:cs="Arial"/>
                <w:color w:val="000000"/>
                <w:sz w:val="20"/>
                <w:szCs w:val="20"/>
              </w:rPr>
              <w:t xml:space="preserve"> Hồ sơ</w:t>
            </w:r>
            <w:r w:rsidRPr="002177D4">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before="100" w:beforeAutospacing="1" w:after="100" w:afterAutospacing="1"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Tờ trình đề nghị cho phép chuyển đổi. Tờ trình cần nêu rõ phương án sử dụng cơ sở vật chất của trường, chế độ chính sách đối với học sinh, giáo viên, cán bộ quản lý, nhân viên sau khi trường chuyển đổi</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2177D4">
              <w:rPr>
                <w:rFonts w:ascii="Arial" w:eastAsia="Times New Roman" w:hAnsi="Arial" w:cs="Arial"/>
                <w:color w:val="000000"/>
                <w:sz w:val="20"/>
                <w:szCs w:val="20"/>
              </w:rPr>
              <w:t xml:space="preserve"> Thời hạn giải quyết</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 Không quy định</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2177D4">
              <w:rPr>
                <w:rFonts w:ascii="Arial" w:eastAsia="Times New Roman" w:hAnsi="Arial" w:cs="Arial"/>
                <w:color w:val="000000"/>
                <w:sz w:val="20"/>
                <w:szCs w:val="20"/>
              </w:rPr>
              <w:t xml:space="preserve"> Cơ quan thực hiện TTHC</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a) Ủy ban nhân dân cấp xã, b) Tổ chức hoặc cá nhân</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2177D4">
              <w:rPr>
                <w:rFonts w:ascii="Arial" w:eastAsia="Times New Roman" w:hAnsi="Arial" w:cs="Arial"/>
                <w:color w:val="000000"/>
                <w:sz w:val="20"/>
                <w:szCs w:val="20"/>
              </w:rPr>
              <w:t xml:space="preserve"> Đối tượng thực hiện TTHC</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Trường phổ thông dân tộc bán trú</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2177D4">
              <w:rPr>
                <w:rFonts w:ascii="Arial" w:eastAsia="Times New Roman" w:hAnsi="Arial" w:cs="Arial"/>
                <w:color w:val="000000"/>
                <w:sz w:val="20"/>
                <w:szCs w:val="20"/>
              </w:rPr>
              <w:t xml:space="preserve"> Mẫu đơn, mẫu tờ khai</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rPr>
                <w:rFonts w:ascii="Arial" w:eastAsia="Times New Roman" w:hAnsi="Arial" w:cs="Arial"/>
                <w:color w:val="000000"/>
                <w:sz w:val="20"/>
                <w:szCs w:val="20"/>
              </w:rPr>
            </w:pPr>
            <w:r w:rsidRPr="002177D4">
              <w:rPr>
                <w:rFonts w:ascii="Arial" w:eastAsia="Times New Roman" w:hAnsi="Arial" w:cs="Arial"/>
                <w:color w:val="000000"/>
                <w:sz w:val="20"/>
                <w:szCs w:val="20"/>
              </w:rPr>
              <w:t> </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2177D4">
              <w:rPr>
                <w:rFonts w:ascii="Arial" w:eastAsia="Times New Roman" w:hAnsi="Arial" w:cs="Arial"/>
                <w:color w:val="000000"/>
                <w:sz w:val="20"/>
                <w:szCs w:val="20"/>
              </w:rPr>
              <w:t xml:space="preserve"> Phí, lệ phí</w:t>
            </w:r>
            <w:r w:rsidRPr="002177D4">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 </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 xml:space="preserve">9 </w:t>
            </w:r>
            <w:r w:rsidRPr="002177D4">
              <w:rPr>
                <w:rFonts w:ascii="Arial" w:eastAsia="Times New Roman" w:hAnsi="Arial" w:cs="Arial"/>
                <w:color w:val="000000"/>
                <w:sz w:val="20"/>
                <w:szCs w:val="20"/>
              </w:rPr>
              <w:t xml:space="preserve"> Kết quả</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Quyết định chuyển đổi trường phổ thông dân tộc bán trú thành trường phổ thông công lập của Chủ tịch Ủy ban nhân dân cấp huyện</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10</w:t>
            </w:r>
            <w:r w:rsidRPr="002177D4">
              <w:rPr>
                <w:rFonts w:ascii="Arial" w:eastAsia="Times New Roman" w:hAnsi="Arial" w:cs="Arial"/>
                <w:color w:val="000000"/>
                <w:sz w:val="20"/>
                <w:szCs w:val="20"/>
              </w:rPr>
              <w:t xml:space="preserve"> Yêu cầu hoặc điều kiện</w:t>
            </w:r>
            <w:r w:rsidRPr="002177D4">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2177D4" w:rsidRPr="002177D4" w:rsidRDefault="002177D4" w:rsidP="002177D4">
            <w:pPr>
              <w:spacing w:before="100" w:beforeAutospacing="1" w:after="100" w:afterAutospacing="1"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Trường phổ thông dân tộc bán trú không bảo đảm tỷ lệ học sinh dân tộc và tỷ lệ học sinh bán trú theo quy định trong 03 năm liền thì chuyển thành trường phổ thông công lập.</w:t>
            </w:r>
          </w:p>
        </w:tc>
      </w:tr>
      <w:tr w:rsidR="002177D4" w:rsidRPr="002177D4" w:rsidTr="002177D4">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11</w:t>
            </w:r>
            <w:r w:rsidRPr="002177D4">
              <w:rPr>
                <w:rFonts w:ascii="Arial" w:eastAsia="Times New Roman" w:hAnsi="Arial" w:cs="Arial"/>
                <w:color w:val="000000"/>
                <w:sz w:val="20"/>
                <w:szCs w:val="20"/>
              </w:rPr>
              <w:t xml:space="preserve"> Căn cứ pháp lý của TTHC</w:t>
            </w:r>
            <w:r w:rsidRPr="002177D4">
              <w:rPr>
                <w:rFonts w:ascii="Arial" w:eastAsia="Times New Roman" w:hAnsi="Arial" w:cs="Arial"/>
                <w:color w:val="000000"/>
                <w:sz w:val="20"/>
                <w:szCs w:val="20"/>
              </w:rPr>
              <w:br/>
              <w:t> </w:t>
            </w:r>
            <w:r w:rsidRPr="002177D4">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2177D4" w:rsidRPr="002177D4" w:rsidRDefault="002177D4" w:rsidP="002177D4">
            <w:pPr>
              <w:spacing w:after="0" w:line="15" w:lineRule="atLeast"/>
              <w:jc w:val="both"/>
              <w:rPr>
                <w:rFonts w:ascii="Arial" w:eastAsia="Times New Roman" w:hAnsi="Arial" w:cs="Arial"/>
                <w:color w:val="000000"/>
                <w:sz w:val="20"/>
                <w:szCs w:val="20"/>
              </w:rPr>
            </w:pPr>
            <w:r w:rsidRPr="002177D4">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Default="003E268A">
      <w:bookmarkStart w:id="0" w:name="_GoBack"/>
      <w:bookmarkEnd w:id="0"/>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A3"/>
    <w:rsid w:val="00032FA3"/>
    <w:rsid w:val="002177D4"/>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77D4"/>
    <w:rPr>
      <w:b/>
      <w:bCs/>
    </w:rPr>
  </w:style>
  <w:style w:type="paragraph" w:styleId="NormalWeb">
    <w:name w:val="Normal (Web)"/>
    <w:basedOn w:val="Normal"/>
    <w:uiPriority w:val="99"/>
    <w:unhideWhenUsed/>
    <w:rsid w:val="002177D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77D4"/>
    <w:rPr>
      <w:b/>
      <w:bCs/>
    </w:rPr>
  </w:style>
  <w:style w:type="paragraph" w:styleId="NormalWeb">
    <w:name w:val="Normal (Web)"/>
    <w:basedOn w:val="Normal"/>
    <w:uiPriority w:val="99"/>
    <w:unhideWhenUsed/>
    <w:rsid w:val="002177D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2019-12-29T02:24:00Z</dcterms:created>
  <dcterms:modified xsi:type="dcterms:W3CDTF">2019-12-29T02:27:00Z</dcterms:modified>
</cp:coreProperties>
</file>