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1F" w:rsidRPr="009B6E1F" w:rsidRDefault="009B6E1F" w:rsidP="009B6E1F">
      <w:pPr>
        <w:shd w:val="clear" w:color="auto" w:fill="FFFFFF"/>
        <w:spacing w:after="30" w:line="240" w:lineRule="auto"/>
        <w:rPr>
          <w:rFonts w:eastAsia="Times New Roman" w:cs="Times New Roman"/>
          <w:color w:val="333333"/>
          <w:sz w:val="26"/>
          <w:szCs w:val="26"/>
        </w:rPr>
      </w:pPr>
      <w:bookmarkStart w:id="0" w:name="_GoBack"/>
      <w:r w:rsidRPr="009B6E1F">
        <w:rPr>
          <w:rFonts w:eastAsia="Times New Roman" w:cs="Times New Roman"/>
          <w:color w:val="333333"/>
          <w:sz w:val="26"/>
          <w:szCs w:val="26"/>
        </w:rPr>
        <w:t>Tên thủ tục:</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Cấp thực hiện:</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Cấp Huyện</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Loại thủ tục:</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TTHC được luật giao quy định chi tiết</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Lĩnh vực:</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Giáo dục và Đào tạo thuộc hệ thống giáo dục quốc dân</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Trình tự thực hiện:</w:t>
      </w:r>
    </w:p>
    <w:p w:rsidR="009B6E1F" w:rsidRPr="009B6E1F" w:rsidRDefault="009B6E1F" w:rsidP="009B6E1F">
      <w:pPr>
        <w:shd w:val="clear" w:color="auto" w:fill="FFFFFF"/>
        <w:spacing w:after="0" w:line="240" w:lineRule="auto"/>
        <w:rPr>
          <w:rFonts w:eastAsia="Times New Roman" w:cs="Times New Roman"/>
          <w:color w:val="1E2F41"/>
          <w:sz w:val="26"/>
          <w:szCs w:val="26"/>
        </w:rPr>
      </w:pPr>
      <w:r w:rsidRPr="009B6E1F">
        <w:rPr>
          <w:rFonts w:eastAsia="Times New Roman" w:cs="Times New Roman"/>
          <w:color w:val="1E2F41"/>
          <w:sz w:val="26"/>
          <w:szCs w:val="26"/>
        </w:rPr>
        <w:t>Trường tiểu học tư thục, trường trung học cơ sở tư thục và trường phổ thông tư thục có nhiều cấp học có cấp học cao nhất là trung học cơ sở do nhà đầu tư trong nước đầu tư gửi 01 bộ hồ sơ trực tiếp hoặc qua bưu điện hoặc nộp trực tuyến kèm theo bản mềm đến Ủy ban nhân dân cấp huyện</w:t>
      </w:r>
      <w:r w:rsidRPr="009B6E1F">
        <w:rPr>
          <w:rFonts w:eastAsia="Times New Roman" w:cs="Times New Roman"/>
          <w:color w:val="1E2F41"/>
          <w:sz w:val="26"/>
          <w:szCs w:val="26"/>
        </w:rPr>
        <w:br/>
        <w:t>Trong thời hạn 20 ngày làm việc tính từ ngày nhận đủ hồ sơ theo quy định, Phòng Giáo dục và Đào tạo tổ chức thẩm định hồ sơ, trình Ủy ban nhân dân cấp huyện quyết định chuyển đổi</w:t>
      </w:r>
      <w:r w:rsidRPr="009B6E1F">
        <w:rPr>
          <w:rFonts w:eastAsia="Times New Roman" w:cs="Times New Roman"/>
          <w:color w:val="1E2F41"/>
          <w:sz w:val="26"/>
          <w:szCs w:val="26"/>
        </w:rPr>
        <w:br/>
        <w:t>Trường hợp hồ sơ không bảo đảm theo quy định, trong thời hạn 05 ngày làm việc tính từ ngày nhận hồ sơ, Ủy ban nhân dân cấp huyện thông báo cho cơ sở giáo dục phổ thông tư thục và nêu rõ lý do</w:t>
      </w:r>
    </w:p>
    <w:p w:rsidR="009B6E1F" w:rsidRPr="009B6E1F" w:rsidRDefault="009B6E1F" w:rsidP="009B6E1F">
      <w:pPr>
        <w:shd w:val="clear" w:color="auto" w:fill="FFFFFF"/>
        <w:spacing w:line="240" w:lineRule="auto"/>
        <w:rPr>
          <w:rFonts w:eastAsia="Times New Roman" w:cs="Times New Roman"/>
          <w:color w:val="1E2F41"/>
          <w:sz w:val="26"/>
          <w:szCs w:val="26"/>
        </w:rPr>
      </w:pPr>
    </w:p>
    <w:p w:rsidR="009B6E1F" w:rsidRPr="009B6E1F" w:rsidRDefault="009B6E1F" w:rsidP="009B6E1F">
      <w:pPr>
        <w:shd w:val="clear" w:color="auto" w:fill="FFFFFF"/>
        <w:spacing w:line="240" w:lineRule="auto"/>
        <w:rPr>
          <w:rFonts w:eastAsia="Times New Roman" w:cs="Times New Roman"/>
          <w:color w:val="333333"/>
          <w:sz w:val="26"/>
          <w:szCs w:val="26"/>
        </w:rPr>
      </w:pPr>
      <w:r w:rsidRPr="009B6E1F">
        <w:rPr>
          <w:rFonts w:eastAsia="Times New Roman" w:cs="Times New Roman"/>
          <w:color w:val="333333"/>
          <w:sz w:val="26"/>
          <w:szCs w:val="26"/>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190"/>
        <w:gridCol w:w="3915"/>
      </w:tblGrid>
      <w:tr w:rsidR="009B6E1F" w:rsidRPr="009B6E1F" w:rsidTr="009B6E1F">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Thời hạn giải quyết</w:t>
            </w:r>
          </w:p>
        </w:tc>
        <w:tc>
          <w:tcPr>
            <w:tcW w:w="2190"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Mô tả</w:t>
            </w:r>
          </w:p>
        </w:tc>
      </w:tr>
      <w:tr w:rsidR="009B6E1F" w:rsidRPr="009B6E1F" w:rsidTr="009B6E1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 xml:space="preserve">Nộp trực tiếp tại Ủy ban nhân dân cấp huyện. - Trong thời hạn 20 ngày làm việc tính từ ngày nhận đủ hồ sơ theo quy định, Phòng Giáo dục và Đào tạo tổ chức thẩm định hồ sơ, trình Ủy ban nhân dân cấp huyện quyết định chuyển đổi. - Trường hợp hồ sơ không bảo đảm theo quy định, trong thời hạn 05 ngày làm việc tính từ ngày nhận hồ sơ, Ủy ban nhân dân cấp </w:t>
            </w:r>
            <w:r w:rsidRPr="009B6E1F">
              <w:rPr>
                <w:rFonts w:eastAsia="Times New Roman" w:cs="Times New Roman"/>
                <w:sz w:val="26"/>
                <w:szCs w:val="26"/>
              </w:rPr>
              <w:lastRenderedPageBreak/>
              <w:t>huyện gửi văn bản thông báo cho cơ sở giáo dục phổ thông tư thục và nêu rõ lý do.</w:t>
            </w:r>
          </w:p>
        </w:tc>
      </w:tr>
      <w:tr w:rsidR="009B6E1F" w:rsidRPr="009B6E1F" w:rsidTr="009B6E1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 Trong thời hạn 20 ngày làm việc tính từ ngày nhận đủ hồ sơ theo quy định, Phòng Giáo dục và Đào tạo tổ chức thẩm định hồ sơ, trình Ủy ban nhân dân cấp huyện quyết định chuyển đổi. - Trường hợp hồ sơ không bảo đảm theo quy định, trong thời hạn 05 ngày làm việc tính từ ngày nhận hồ sơ, Ủy ban nhân dân cấp huyện gửi văn bản thông báo cho cơ sở giáo dục phổ thông tư thục và nêu rõ lý do.</w:t>
            </w:r>
          </w:p>
        </w:tc>
      </w:tr>
      <w:tr w:rsidR="009B6E1F" w:rsidRPr="009B6E1F" w:rsidTr="009B6E1F">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 Trong thời hạn 20 ngày làm việc tính từ ngày nhận đủ hồ sơ theo quy định, Phòng Giáo dục và Đào tạo tổ chức thẩm định hồ sơ, trình Ủy ban nhân dân cấp huyện quyết định chuyển đổi. - Trường hợp hồ sơ không bảo đảm theo quy định, trong thời hạn 05 ngày làm việc tính từ ngày nhận hồ sơ, Ủy ban nhân dân cấp huyện gửi văn bản thông báo cho cơ sở giáo dục phổ thông tư thục và nêu rõ lý do.</w:t>
            </w:r>
          </w:p>
        </w:tc>
      </w:tr>
    </w:tbl>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Thành phần hồ sơ:</w:t>
      </w:r>
    </w:p>
    <w:p w:rsidR="009B6E1F" w:rsidRPr="009B6E1F" w:rsidRDefault="009B6E1F" w:rsidP="009B6E1F">
      <w:pPr>
        <w:shd w:val="clear" w:color="auto" w:fill="FFFFFF"/>
        <w:spacing w:line="240" w:lineRule="auto"/>
        <w:rPr>
          <w:rFonts w:eastAsia="Times New Roman" w:cs="Times New Roman"/>
          <w:color w:val="333333"/>
          <w:sz w:val="26"/>
          <w:szCs w:val="26"/>
        </w:rPr>
      </w:pPr>
      <w:r w:rsidRPr="009B6E1F">
        <w:rPr>
          <w:rFonts w:eastAsia="Times New Roman" w:cs="Times New Roman"/>
          <w:color w:val="333333"/>
          <w:sz w:val="26"/>
          <w:szCs w:val="26"/>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9B6E1F" w:rsidRPr="009B6E1F" w:rsidTr="009B6E1F">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Số lượng</w:t>
            </w:r>
          </w:p>
        </w:tc>
      </w:tr>
      <w:tr w:rsidR="009B6E1F" w:rsidRPr="009B6E1F" w:rsidTr="009B6E1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 xml:space="preserve">Tờ trình đề nghị chuyển đổi cơ sở giáo dục phổ thông tư thục sang cơ sở giáo dục phổ thông tư thục hoạt động </w:t>
            </w:r>
            <w:r w:rsidRPr="009B6E1F">
              <w:rPr>
                <w:rFonts w:eastAsia="Times New Roman" w:cs="Times New Roman"/>
                <w:sz w:val="26"/>
                <w:szCs w:val="26"/>
              </w:rPr>
              <w:lastRenderedPageBreak/>
              <w:t>không vì lợi nhuận, trong đó nêu rõ sự cần thiết phải chuyển đổi; tôn chỉ, mục đích hoạt động không vì lợi nhuận; phân vốn góp, phần tài sản thuộc sở hữu chung hợp nhất không phân chia của nhà trường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Bản chính: 1</w:t>
            </w:r>
            <w:r w:rsidRPr="009B6E1F">
              <w:rPr>
                <w:rFonts w:eastAsia="Times New Roman" w:cs="Times New Roman"/>
                <w:sz w:val="26"/>
                <w:szCs w:val="26"/>
              </w:rPr>
              <w:br/>
              <w:t>Bản sao: 0</w:t>
            </w:r>
          </w:p>
        </w:tc>
      </w:tr>
      <w:tr w:rsidR="009B6E1F" w:rsidRPr="009B6E1F" w:rsidTr="009B6E1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lastRenderedPageBreak/>
              <w:t>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Bản chính: 1</w:t>
            </w:r>
            <w:r w:rsidRPr="009B6E1F">
              <w:rPr>
                <w:rFonts w:eastAsia="Times New Roman" w:cs="Times New Roman"/>
                <w:sz w:val="26"/>
                <w:szCs w:val="26"/>
              </w:rPr>
              <w:br/>
              <w:t>Bản sao: 0</w:t>
            </w:r>
          </w:p>
        </w:tc>
      </w:tr>
      <w:tr w:rsidR="009B6E1F" w:rsidRPr="009B6E1F" w:rsidTr="009B6E1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Dự thảo quy chế tổ chức và hoạt động; dự thảo quy chế tài chính nội bộ của cơ sở giáo dục phổ thông tư thục hoạt động không vì lợi nhuận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Bản chính: 1</w:t>
            </w:r>
            <w:r w:rsidRPr="009B6E1F">
              <w:rPr>
                <w:rFonts w:eastAsia="Times New Roman" w:cs="Times New Roman"/>
                <w:sz w:val="26"/>
                <w:szCs w:val="26"/>
              </w:rPr>
              <w:br/>
              <w:t>Bản sao: 0</w:t>
            </w:r>
          </w:p>
        </w:tc>
      </w:tr>
      <w:tr w:rsidR="009B6E1F" w:rsidRPr="009B6E1F" w:rsidTr="009B6E1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nhân sự của cơ sở giáo dục phổ thông tư thục chuyển đổi sang cơ sở giáo dục phổ thông tư thục hoạt động không vì lợi nhuận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Bản chính: 0</w:t>
            </w:r>
            <w:r w:rsidRPr="009B6E1F">
              <w:rPr>
                <w:rFonts w:eastAsia="Times New Roman" w:cs="Times New Roman"/>
                <w:sz w:val="26"/>
                <w:szCs w:val="26"/>
              </w:rPr>
              <w:br/>
              <w:t>Bản sao: 1</w:t>
            </w:r>
          </w:p>
        </w:tc>
      </w:tr>
      <w:tr w:rsidR="009B6E1F" w:rsidRPr="009B6E1F" w:rsidTr="009B6E1F">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Báo cáo đánh giá tác động của việc chuyển đổi về nhân sự, tài chính, tài sản và phương án xử lý</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Bản chính: 1</w:t>
            </w:r>
            <w:r w:rsidRPr="009B6E1F">
              <w:rPr>
                <w:rFonts w:eastAsia="Times New Roman" w:cs="Times New Roman"/>
                <w:sz w:val="26"/>
                <w:szCs w:val="26"/>
              </w:rPr>
              <w:br/>
              <w:t>Bản sao: 0</w:t>
            </w:r>
          </w:p>
        </w:tc>
      </w:tr>
      <w:tr w:rsidR="009B6E1F" w:rsidRPr="009B6E1F" w:rsidTr="009B6E1F">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Bản chính: 0</w:t>
            </w:r>
            <w:r w:rsidRPr="009B6E1F">
              <w:rPr>
                <w:rFonts w:eastAsia="Times New Roman" w:cs="Times New Roman"/>
                <w:sz w:val="26"/>
                <w:szCs w:val="26"/>
              </w:rPr>
              <w:br/>
              <w:t>Bản sao: 1</w:t>
            </w:r>
          </w:p>
        </w:tc>
      </w:tr>
    </w:tbl>
    <w:p w:rsidR="009B6E1F" w:rsidRPr="009B6E1F" w:rsidRDefault="009B6E1F" w:rsidP="009B6E1F">
      <w:pPr>
        <w:shd w:val="clear" w:color="auto" w:fill="FFFFFF"/>
        <w:spacing w:line="240" w:lineRule="auto"/>
        <w:rPr>
          <w:rFonts w:eastAsia="Times New Roman" w:cs="Times New Roman"/>
          <w:color w:val="1E2F41"/>
          <w:sz w:val="26"/>
          <w:szCs w:val="26"/>
        </w:rPr>
      </w:pP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lastRenderedPageBreak/>
        <w:t>Đối tượng thực hiện:</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Doanh nghiệp, Tổ chức (không bao gồm doanh nghiệp, HTX)</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Cơ quan thực hiện:</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Ủy ban nhân dân cấp Huyện, Phòng Giáo dục và Đào tạo</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Cơ quan có thẩm quyền:</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Ủy ban nhân dân cấp Huyện</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Địa chỉ tiếp nhận HS:</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Không có thông tin</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Cơ quan được ủy quyền:</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Không có thông tin</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Cơ quan phối hợp:</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Không có thông tin</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Kết quả thực hiện:</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Quyết định của Chủ tịch Ủy ban nhân dân cấp huyện về việc chuyển đổi trường tiểu học tư thục/trường trung học cơ sở tư thục/trường phổ thông tư thục có nhiều cấp học có cấp học cao nhất là trung học cơ sở do nhà đầu tư trong nước đầu tư sang trường tiểu học tư thục/trường trung học cơ sở tư thục/trường phổ thông tư thục có nhiều cấp học có cấp học cao nhất là trung học cơ sở hoạt động không vì lợi nhuận. Quyết định chuyển đổi được công bố công khai trên Trang thông tin điện tử của Ủy ban nhân dân cấp huyện.</w:t>
      </w:r>
    </w:p>
    <w:p w:rsidR="009B6E1F" w:rsidRPr="009B6E1F" w:rsidRDefault="009B6E1F" w:rsidP="009B6E1F">
      <w:pPr>
        <w:shd w:val="clear" w:color="auto" w:fill="FFFFFF"/>
        <w:spacing w:line="240" w:lineRule="auto"/>
        <w:rPr>
          <w:rFonts w:eastAsia="Times New Roman" w:cs="Times New Roman"/>
          <w:color w:val="333333"/>
          <w:sz w:val="26"/>
          <w:szCs w:val="26"/>
        </w:rPr>
      </w:pPr>
      <w:r w:rsidRPr="009B6E1F">
        <w:rPr>
          <w:rFonts w:eastAsia="Times New Roman" w:cs="Times New Roman"/>
          <w:color w:val="333333"/>
          <w:sz w:val="26"/>
          <w:szCs w:val="26"/>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65"/>
        <w:gridCol w:w="3900"/>
        <w:gridCol w:w="1965"/>
        <w:gridCol w:w="2505"/>
      </w:tblGrid>
      <w:tr w:rsidR="009B6E1F" w:rsidRPr="009B6E1F" w:rsidTr="009B6E1F">
        <w:trPr>
          <w:tblHeader/>
        </w:trPr>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Số ký hiệu</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color w:val="1E2F41"/>
                <w:sz w:val="26"/>
                <w:szCs w:val="26"/>
              </w:rPr>
            </w:pPr>
            <w:r w:rsidRPr="009B6E1F">
              <w:rPr>
                <w:rFonts w:eastAsia="Times New Roman" w:cs="Times New Roman"/>
                <w:color w:val="1E2F41"/>
                <w:sz w:val="26"/>
                <w:szCs w:val="26"/>
              </w:rPr>
              <w:t>Cơ quan ban hành</w:t>
            </w:r>
          </w:p>
        </w:tc>
      </w:tr>
      <w:tr w:rsidR="009B6E1F" w:rsidRPr="009B6E1F" w:rsidTr="009B6E1F">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84/2020/NĐ-CP</w:t>
            </w:r>
          </w:p>
        </w:tc>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Nghị định 84/2020/NĐ-CP</w:t>
            </w:r>
          </w:p>
        </w:tc>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r w:rsidRPr="009B6E1F">
              <w:rPr>
                <w:rFonts w:eastAsia="Times New Roman" w:cs="Times New Roman"/>
                <w:sz w:val="26"/>
                <w:szCs w:val="26"/>
              </w:rPr>
              <w:t>17-07-2020</w:t>
            </w:r>
          </w:p>
        </w:tc>
        <w:tc>
          <w:tcPr>
            <w:tcW w:w="0" w:type="auto"/>
            <w:tcBorders>
              <w:bottom w:val="nil"/>
            </w:tcBorders>
            <w:shd w:val="clear" w:color="auto" w:fill="auto"/>
            <w:tcMar>
              <w:top w:w="150" w:type="dxa"/>
              <w:left w:w="150" w:type="dxa"/>
              <w:bottom w:w="150" w:type="dxa"/>
              <w:right w:w="150" w:type="dxa"/>
            </w:tcMar>
            <w:vAlign w:val="center"/>
            <w:hideMark/>
          </w:tcPr>
          <w:p w:rsidR="009B6E1F" w:rsidRPr="009B6E1F" w:rsidRDefault="009B6E1F" w:rsidP="009B6E1F">
            <w:pPr>
              <w:spacing w:after="0" w:line="330" w:lineRule="atLeast"/>
              <w:rPr>
                <w:rFonts w:eastAsia="Times New Roman" w:cs="Times New Roman"/>
                <w:sz w:val="26"/>
                <w:szCs w:val="26"/>
              </w:rPr>
            </w:pPr>
          </w:p>
        </w:tc>
      </w:tr>
    </w:tbl>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Yêu cầu, điều kiện thực hiện:</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Trường tiểu học tư thục, trường trung học cơ sở tư thục và trường phổ thông tư thục có nhiều cấp học có cấp học cao nhất là trung học cơ sở do nhà đầu tư trong nước đầu tư, bảo đảm điều kiện hoạt động.</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Từ khóa:</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Không có thông tin</w:t>
      </w:r>
    </w:p>
    <w:p w:rsidR="009B6E1F" w:rsidRPr="009B6E1F" w:rsidRDefault="009B6E1F" w:rsidP="009B6E1F">
      <w:pPr>
        <w:shd w:val="clear" w:color="auto" w:fill="FFFFFF"/>
        <w:spacing w:after="30" w:line="240" w:lineRule="auto"/>
        <w:rPr>
          <w:rFonts w:eastAsia="Times New Roman" w:cs="Times New Roman"/>
          <w:color w:val="333333"/>
          <w:sz w:val="26"/>
          <w:szCs w:val="26"/>
        </w:rPr>
      </w:pPr>
      <w:r w:rsidRPr="009B6E1F">
        <w:rPr>
          <w:rFonts w:eastAsia="Times New Roman" w:cs="Times New Roman"/>
          <w:color w:val="333333"/>
          <w:sz w:val="26"/>
          <w:szCs w:val="26"/>
        </w:rPr>
        <w:t>Mô tả:</w:t>
      </w:r>
    </w:p>
    <w:p w:rsidR="009B6E1F" w:rsidRPr="009B6E1F" w:rsidRDefault="009B6E1F" w:rsidP="009B6E1F">
      <w:pPr>
        <w:shd w:val="clear" w:color="auto" w:fill="FFFFFF"/>
        <w:spacing w:line="240" w:lineRule="auto"/>
        <w:rPr>
          <w:rFonts w:eastAsia="Times New Roman" w:cs="Times New Roman"/>
          <w:color w:val="1E2F41"/>
          <w:sz w:val="26"/>
          <w:szCs w:val="26"/>
        </w:rPr>
      </w:pPr>
      <w:r w:rsidRPr="009B6E1F">
        <w:rPr>
          <w:rFonts w:eastAsia="Times New Roman" w:cs="Times New Roman"/>
          <w:color w:val="1E2F41"/>
          <w:sz w:val="26"/>
          <w:szCs w:val="26"/>
        </w:rPr>
        <w:t>Không có thông tin</w:t>
      </w:r>
    </w:p>
    <w:bookmarkEnd w:id="0"/>
    <w:p w:rsidR="003E268A" w:rsidRPr="009B6E1F" w:rsidRDefault="003E268A">
      <w:pPr>
        <w:rPr>
          <w:rFonts w:cs="Times New Roman"/>
          <w:sz w:val="26"/>
          <w:szCs w:val="26"/>
        </w:rPr>
      </w:pPr>
    </w:p>
    <w:sectPr w:rsidR="003E268A" w:rsidRPr="009B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1F"/>
    <w:rsid w:val="003E268A"/>
    <w:rsid w:val="009B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10141">
      <w:bodyDiv w:val="1"/>
      <w:marLeft w:val="0"/>
      <w:marRight w:val="0"/>
      <w:marTop w:val="0"/>
      <w:marBottom w:val="0"/>
      <w:divBdr>
        <w:top w:val="none" w:sz="0" w:space="0" w:color="auto"/>
        <w:left w:val="none" w:sz="0" w:space="0" w:color="auto"/>
        <w:bottom w:val="none" w:sz="0" w:space="0" w:color="auto"/>
        <w:right w:val="none" w:sz="0" w:space="0" w:color="auto"/>
      </w:divBdr>
      <w:divsChild>
        <w:div w:id="97800157">
          <w:marLeft w:val="-225"/>
          <w:marRight w:val="-225"/>
          <w:marTop w:val="0"/>
          <w:marBottom w:val="300"/>
          <w:divBdr>
            <w:top w:val="none" w:sz="0" w:space="0" w:color="auto"/>
            <w:left w:val="none" w:sz="0" w:space="0" w:color="auto"/>
            <w:bottom w:val="none" w:sz="0" w:space="0" w:color="auto"/>
            <w:right w:val="none" w:sz="0" w:space="0" w:color="auto"/>
          </w:divBdr>
          <w:divsChild>
            <w:div w:id="1490748582">
              <w:marLeft w:val="0"/>
              <w:marRight w:val="0"/>
              <w:marTop w:val="0"/>
              <w:marBottom w:val="30"/>
              <w:divBdr>
                <w:top w:val="none" w:sz="0" w:space="0" w:color="auto"/>
                <w:left w:val="none" w:sz="0" w:space="0" w:color="auto"/>
                <w:bottom w:val="none" w:sz="0" w:space="0" w:color="auto"/>
                <w:right w:val="none" w:sz="0" w:space="0" w:color="auto"/>
              </w:divBdr>
            </w:div>
            <w:div w:id="1451045111">
              <w:marLeft w:val="0"/>
              <w:marRight w:val="0"/>
              <w:marTop w:val="0"/>
              <w:marBottom w:val="0"/>
              <w:divBdr>
                <w:top w:val="none" w:sz="0" w:space="0" w:color="auto"/>
                <w:left w:val="none" w:sz="0" w:space="0" w:color="auto"/>
                <w:bottom w:val="none" w:sz="0" w:space="0" w:color="auto"/>
                <w:right w:val="none" w:sz="0" w:space="0" w:color="auto"/>
              </w:divBdr>
            </w:div>
          </w:divsChild>
        </w:div>
        <w:div w:id="1228688635">
          <w:marLeft w:val="-225"/>
          <w:marRight w:val="-225"/>
          <w:marTop w:val="0"/>
          <w:marBottom w:val="300"/>
          <w:divBdr>
            <w:top w:val="none" w:sz="0" w:space="0" w:color="auto"/>
            <w:left w:val="none" w:sz="0" w:space="0" w:color="auto"/>
            <w:bottom w:val="none" w:sz="0" w:space="0" w:color="auto"/>
            <w:right w:val="none" w:sz="0" w:space="0" w:color="auto"/>
          </w:divBdr>
          <w:divsChild>
            <w:div w:id="1629972869">
              <w:marLeft w:val="0"/>
              <w:marRight w:val="0"/>
              <w:marTop w:val="0"/>
              <w:marBottom w:val="30"/>
              <w:divBdr>
                <w:top w:val="none" w:sz="0" w:space="0" w:color="auto"/>
                <w:left w:val="none" w:sz="0" w:space="0" w:color="auto"/>
                <w:bottom w:val="none" w:sz="0" w:space="0" w:color="auto"/>
                <w:right w:val="none" w:sz="0" w:space="0" w:color="auto"/>
              </w:divBdr>
            </w:div>
            <w:div w:id="1298729069">
              <w:marLeft w:val="0"/>
              <w:marRight w:val="0"/>
              <w:marTop w:val="0"/>
              <w:marBottom w:val="0"/>
              <w:divBdr>
                <w:top w:val="none" w:sz="0" w:space="0" w:color="auto"/>
                <w:left w:val="none" w:sz="0" w:space="0" w:color="auto"/>
                <w:bottom w:val="none" w:sz="0" w:space="0" w:color="auto"/>
                <w:right w:val="none" w:sz="0" w:space="0" w:color="auto"/>
              </w:divBdr>
            </w:div>
          </w:divsChild>
        </w:div>
        <w:div w:id="1440757197">
          <w:marLeft w:val="-225"/>
          <w:marRight w:val="-225"/>
          <w:marTop w:val="0"/>
          <w:marBottom w:val="300"/>
          <w:divBdr>
            <w:top w:val="none" w:sz="0" w:space="0" w:color="auto"/>
            <w:left w:val="none" w:sz="0" w:space="0" w:color="auto"/>
            <w:bottom w:val="none" w:sz="0" w:space="0" w:color="auto"/>
            <w:right w:val="none" w:sz="0" w:space="0" w:color="auto"/>
          </w:divBdr>
          <w:divsChild>
            <w:div w:id="1425955148">
              <w:marLeft w:val="0"/>
              <w:marRight w:val="0"/>
              <w:marTop w:val="0"/>
              <w:marBottom w:val="30"/>
              <w:divBdr>
                <w:top w:val="none" w:sz="0" w:space="0" w:color="auto"/>
                <w:left w:val="none" w:sz="0" w:space="0" w:color="auto"/>
                <w:bottom w:val="none" w:sz="0" w:space="0" w:color="auto"/>
                <w:right w:val="none" w:sz="0" w:space="0" w:color="auto"/>
              </w:divBdr>
            </w:div>
            <w:div w:id="1648973288">
              <w:marLeft w:val="0"/>
              <w:marRight w:val="0"/>
              <w:marTop w:val="0"/>
              <w:marBottom w:val="0"/>
              <w:divBdr>
                <w:top w:val="none" w:sz="0" w:space="0" w:color="auto"/>
                <w:left w:val="none" w:sz="0" w:space="0" w:color="auto"/>
                <w:bottom w:val="none" w:sz="0" w:space="0" w:color="auto"/>
                <w:right w:val="none" w:sz="0" w:space="0" w:color="auto"/>
              </w:divBdr>
            </w:div>
          </w:divsChild>
        </w:div>
        <w:div w:id="201872283">
          <w:marLeft w:val="-225"/>
          <w:marRight w:val="-225"/>
          <w:marTop w:val="0"/>
          <w:marBottom w:val="300"/>
          <w:divBdr>
            <w:top w:val="none" w:sz="0" w:space="0" w:color="auto"/>
            <w:left w:val="none" w:sz="0" w:space="0" w:color="auto"/>
            <w:bottom w:val="none" w:sz="0" w:space="0" w:color="auto"/>
            <w:right w:val="none" w:sz="0" w:space="0" w:color="auto"/>
          </w:divBdr>
          <w:divsChild>
            <w:div w:id="300693430">
              <w:marLeft w:val="0"/>
              <w:marRight w:val="0"/>
              <w:marTop w:val="0"/>
              <w:marBottom w:val="30"/>
              <w:divBdr>
                <w:top w:val="none" w:sz="0" w:space="0" w:color="auto"/>
                <w:left w:val="none" w:sz="0" w:space="0" w:color="auto"/>
                <w:bottom w:val="none" w:sz="0" w:space="0" w:color="auto"/>
                <w:right w:val="none" w:sz="0" w:space="0" w:color="auto"/>
              </w:divBdr>
            </w:div>
            <w:div w:id="1590848073">
              <w:marLeft w:val="0"/>
              <w:marRight w:val="0"/>
              <w:marTop w:val="0"/>
              <w:marBottom w:val="0"/>
              <w:divBdr>
                <w:top w:val="none" w:sz="0" w:space="0" w:color="auto"/>
                <w:left w:val="none" w:sz="0" w:space="0" w:color="auto"/>
                <w:bottom w:val="none" w:sz="0" w:space="0" w:color="auto"/>
                <w:right w:val="none" w:sz="0" w:space="0" w:color="auto"/>
              </w:divBdr>
            </w:div>
          </w:divsChild>
        </w:div>
        <w:div w:id="1804540338">
          <w:marLeft w:val="-225"/>
          <w:marRight w:val="-225"/>
          <w:marTop w:val="0"/>
          <w:marBottom w:val="300"/>
          <w:divBdr>
            <w:top w:val="none" w:sz="0" w:space="0" w:color="auto"/>
            <w:left w:val="none" w:sz="0" w:space="0" w:color="auto"/>
            <w:bottom w:val="none" w:sz="0" w:space="0" w:color="auto"/>
            <w:right w:val="none" w:sz="0" w:space="0" w:color="auto"/>
          </w:divBdr>
          <w:divsChild>
            <w:div w:id="2106420502">
              <w:marLeft w:val="0"/>
              <w:marRight w:val="0"/>
              <w:marTop w:val="0"/>
              <w:marBottom w:val="30"/>
              <w:divBdr>
                <w:top w:val="none" w:sz="0" w:space="0" w:color="auto"/>
                <w:left w:val="none" w:sz="0" w:space="0" w:color="auto"/>
                <w:bottom w:val="none" w:sz="0" w:space="0" w:color="auto"/>
                <w:right w:val="none" w:sz="0" w:space="0" w:color="auto"/>
              </w:divBdr>
            </w:div>
            <w:div w:id="1662392698">
              <w:marLeft w:val="0"/>
              <w:marRight w:val="0"/>
              <w:marTop w:val="0"/>
              <w:marBottom w:val="0"/>
              <w:divBdr>
                <w:top w:val="none" w:sz="0" w:space="0" w:color="auto"/>
                <w:left w:val="none" w:sz="0" w:space="0" w:color="auto"/>
                <w:bottom w:val="none" w:sz="0" w:space="0" w:color="auto"/>
                <w:right w:val="none" w:sz="0" w:space="0" w:color="auto"/>
              </w:divBdr>
              <w:divsChild>
                <w:div w:id="21181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0867">
          <w:marLeft w:val="-225"/>
          <w:marRight w:val="-225"/>
          <w:marTop w:val="0"/>
          <w:marBottom w:val="300"/>
          <w:divBdr>
            <w:top w:val="none" w:sz="0" w:space="0" w:color="auto"/>
            <w:left w:val="none" w:sz="0" w:space="0" w:color="auto"/>
            <w:bottom w:val="none" w:sz="0" w:space="0" w:color="auto"/>
            <w:right w:val="none" w:sz="0" w:space="0" w:color="auto"/>
          </w:divBdr>
          <w:divsChild>
            <w:div w:id="1485706899">
              <w:marLeft w:val="0"/>
              <w:marRight w:val="0"/>
              <w:marTop w:val="0"/>
              <w:marBottom w:val="30"/>
              <w:divBdr>
                <w:top w:val="none" w:sz="0" w:space="0" w:color="auto"/>
                <w:left w:val="none" w:sz="0" w:space="0" w:color="auto"/>
                <w:bottom w:val="none" w:sz="0" w:space="0" w:color="auto"/>
                <w:right w:val="none" w:sz="0" w:space="0" w:color="auto"/>
              </w:divBdr>
            </w:div>
            <w:div w:id="977951840">
              <w:marLeft w:val="0"/>
              <w:marRight w:val="0"/>
              <w:marTop w:val="0"/>
              <w:marBottom w:val="0"/>
              <w:divBdr>
                <w:top w:val="none" w:sz="0" w:space="0" w:color="auto"/>
                <w:left w:val="none" w:sz="0" w:space="0" w:color="auto"/>
                <w:bottom w:val="none" w:sz="0" w:space="0" w:color="auto"/>
                <w:right w:val="none" w:sz="0" w:space="0" w:color="auto"/>
              </w:divBdr>
              <w:divsChild>
                <w:div w:id="12204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0423">
          <w:marLeft w:val="-225"/>
          <w:marRight w:val="-225"/>
          <w:marTop w:val="0"/>
          <w:marBottom w:val="300"/>
          <w:divBdr>
            <w:top w:val="none" w:sz="0" w:space="0" w:color="auto"/>
            <w:left w:val="none" w:sz="0" w:space="0" w:color="auto"/>
            <w:bottom w:val="none" w:sz="0" w:space="0" w:color="auto"/>
            <w:right w:val="none" w:sz="0" w:space="0" w:color="auto"/>
          </w:divBdr>
          <w:divsChild>
            <w:div w:id="1341815507">
              <w:marLeft w:val="0"/>
              <w:marRight w:val="0"/>
              <w:marTop w:val="0"/>
              <w:marBottom w:val="30"/>
              <w:divBdr>
                <w:top w:val="none" w:sz="0" w:space="0" w:color="auto"/>
                <w:left w:val="none" w:sz="0" w:space="0" w:color="auto"/>
                <w:bottom w:val="none" w:sz="0" w:space="0" w:color="auto"/>
                <w:right w:val="none" w:sz="0" w:space="0" w:color="auto"/>
              </w:divBdr>
            </w:div>
            <w:div w:id="930160371">
              <w:marLeft w:val="0"/>
              <w:marRight w:val="0"/>
              <w:marTop w:val="0"/>
              <w:marBottom w:val="0"/>
              <w:divBdr>
                <w:top w:val="none" w:sz="0" w:space="0" w:color="auto"/>
                <w:left w:val="none" w:sz="0" w:space="0" w:color="auto"/>
                <w:bottom w:val="none" w:sz="0" w:space="0" w:color="auto"/>
                <w:right w:val="none" w:sz="0" w:space="0" w:color="auto"/>
              </w:divBdr>
              <w:divsChild>
                <w:div w:id="7474604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46829203">
          <w:marLeft w:val="-225"/>
          <w:marRight w:val="-225"/>
          <w:marTop w:val="0"/>
          <w:marBottom w:val="300"/>
          <w:divBdr>
            <w:top w:val="none" w:sz="0" w:space="0" w:color="auto"/>
            <w:left w:val="none" w:sz="0" w:space="0" w:color="auto"/>
            <w:bottom w:val="none" w:sz="0" w:space="0" w:color="auto"/>
            <w:right w:val="none" w:sz="0" w:space="0" w:color="auto"/>
          </w:divBdr>
          <w:divsChild>
            <w:div w:id="1311253692">
              <w:marLeft w:val="0"/>
              <w:marRight w:val="0"/>
              <w:marTop w:val="0"/>
              <w:marBottom w:val="30"/>
              <w:divBdr>
                <w:top w:val="none" w:sz="0" w:space="0" w:color="auto"/>
                <w:left w:val="none" w:sz="0" w:space="0" w:color="auto"/>
                <w:bottom w:val="none" w:sz="0" w:space="0" w:color="auto"/>
                <w:right w:val="none" w:sz="0" w:space="0" w:color="auto"/>
              </w:divBdr>
            </w:div>
            <w:div w:id="1683193715">
              <w:marLeft w:val="0"/>
              <w:marRight w:val="0"/>
              <w:marTop w:val="0"/>
              <w:marBottom w:val="0"/>
              <w:divBdr>
                <w:top w:val="none" w:sz="0" w:space="0" w:color="auto"/>
                <w:left w:val="none" w:sz="0" w:space="0" w:color="auto"/>
                <w:bottom w:val="none" w:sz="0" w:space="0" w:color="auto"/>
                <w:right w:val="none" w:sz="0" w:space="0" w:color="auto"/>
              </w:divBdr>
            </w:div>
          </w:divsChild>
        </w:div>
        <w:div w:id="630982098">
          <w:marLeft w:val="-225"/>
          <w:marRight w:val="-225"/>
          <w:marTop w:val="0"/>
          <w:marBottom w:val="300"/>
          <w:divBdr>
            <w:top w:val="none" w:sz="0" w:space="0" w:color="auto"/>
            <w:left w:val="none" w:sz="0" w:space="0" w:color="auto"/>
            <w:bottom w:val="none" w:sz="0" w:space="0" w:color="auto"/>
            <w:right w:val="none" w:sz="0" w:space="0" w:color="auto"/>
          </w:divBdr>
          <w:divsChild>
            <w:div w:id="1649090520">
              <w:marLeft w:val="0"/>
              <w:marRight w:val="0"/>
              <w:marTop w:val="0"/>
              <w:marBottom w:val="30"/>
              <w:divBdr>
                <w:top w:val="none" w:sz="0" w:space="0" w:color="auto"/>
                <w:left w:val="none" w:sz="0" w:space="0" w:color="auto"/>
                <w:bottom w:val="none" w:sz="0" w:space="0" w:color="auto"/>
                <w:right w:val="none" w:sz="0" w:space="0" w:color="auto"/>
              </w:divBdr>
            </w:div>
            <w:div w:id="736629172">
              <w:marLeft w:val="0"/>
              <w:marRight w:val="0"/>
              <w:marTop w:val="0"/>
              <w:marBottom w:val="0"/>
              <w:divBdr>
                <w:top w:val="none" w:sz="0" w:space="0" w:color="auto"/>
                <w:left w:val="none" w:sz="0" w:space="0" w:color="auto"/>
                <w:bottom w:val="none" w:sz="0" w:space="0" w:color="auto"/>
                <w:right w:val="none" w:sz="0" w:space="0" w:color="auto"/>
              </w:divBdr>
            </w:div>
          </w:divsChild>
        </w:div>
        <w:div w:id="1592082308">
          <w:marLeft w:val="-225"/>
          <w:marRight w:val="-225"/>
          <w:marTop w:val="0"/>
          <w:marBottom w:val="300"/>
          <w:divBdr>
            <w:top w:val="none" w:sz="0" w:space="0" w:color="auto"/>
            <w:left w:val="none" w:sz="0" w:space="0" w:color="auto"/>
            <w:bottom w:val="none" w:sz="0" w:space="0" w:color="auto"/>
            <w:right w:val="none" w:sz="0" w:space="0" w:color="auto"/>
          </w:divBdr>
          <w:divsChild>
            <w:div w:id="1570995498">
              <w:marLeft w:val="0"/>
              <w:marRight w:val="0"/>
              <w:marTop w:val="0"/>
              <w:marBottom w:val="30"/>
              <w:divBdr>
                <w:top w:val="none" w:sz="0" w:space="0" w:color="auto"/>
                <w:left w:val="none" w:sz="0" w:space="0" w:color="auto"/>
                <w:bottom w:val="none" w:sz="0" w:space="0" w:color="auto"/>
                <w:right w:val="none" w:sz="0" w:space="0" w:color="auto"/>
              </w:divBdr>
            </w:div>
            <w:div w:id="1858763597">
              <w:marLeft w:val="0"/>
              <w:marRight w:val="0"/>
              <w:marTop w:val="0"/>
              <w:marBottom w:val="0"/>
              <w:divBdr>
                <w:top w:val="none" w:sz="0" w:space="0" w:color="auto"/>
                <w:left w:val="none" w:sz="0" w:space="0" w:color="auto"/>
                <w:bottom w:val="none" w:sz="0" w:space="0" w:color="auto"/>
                <w:right w:val="none" w:sz="0" w:space="0" w:color="auto"/>
              </w:divBdr>
            </w:div>
          </w:divsChild>
        </w:div>
        <w:div w:id="1632201185">
          <w:marLeft w:val="-225"/>
          <w:marRight w:val="-225"/>
          <w:marTop w:val="0"/>
          <w:marBottom w:val="300"/>
          <w:divBdr>
            <w:top w:val="none" w:sz="0" w:space="0" w:color="auto"/>
            <w:left w:val="none" w:sz="0" w:space="0" w:color="auto"/>
            <w:bottom w:val="none" w:sz="0" w:space="0" w:color="auto"/>
            <w:right w:val="none" w:sz="0" w:space="0" w:color="auto"/>
          </w:divBdr>
          <w:divsChild>
            <w:div w:id="937177839">
              <w:marLeft w:val="0"/>
              <w:marRight w:val="0"/>
              <w:marTop w:val="0"/>
              <w:marBottom w:val="30"/>
              <w:divBdr>
                <w:top w:val="none" w:sz="0" w:space="0" w:color="auto"/>
                <w:left w:val="none" w:sz="0" w:space="0" w:color="auto"/>
                <w:bottom w:val="none" w:sz="0" w:space="0" w:color="auto"/>
                <w:right w:val="none" w:sz="0" w:space="0" w:color="auto"/>
              </w:divBdr>
            </w:div>
            <w:div w:id="2130925673">
              <w:marLeft w:val="0"/>
              <w:marRight w:val="0"/>
              <w:marTop w:val="0"/>
              <w:marBottom w:val="0"/>
              <w:divBdr>
                <w:top w:val="none" w:sz="0" w:space="0" w:color="auto"/>
                <w:left w:val="none" w:sz="0" w:space="0" w:color="auto"/>
                <w:bottom w:val="none" w:sz="0" w:space="0" w:color="auto"/>
                <w:right w:val="none" w:sz="0" w:space="0" w:color="auto"/>
              </w:divBdr>
            </w:div>
          </w:divsChild>
        </w:div>
        <w:div w:id="370226615">
          <w:marLeft w:val="-225"/>
          <w:marRight w:val="-225"/>
          <w:marTop w:val="0"/>
          <w:marBottom w:val="300"/>
          <w:divBdr>
            <w:top w:val="none" w:sz="0" w:space="0" w:color="auto"/>
            <w:left w:val="none" w:sz="0" w:space="0" w:color="auto"/>
            <w:bottom w:val="none" w:sz="0" w:space="0" w:color="auto"/>
            <w:right w:val="none" w:sz="0" w:space="0" w:color="auto"/>
          </w:divBdr>
          <w:divsChild>
            <w:div w:id="2028945966">
              <w:marLeft w:val="0"/>
              <w:marRight w:val="0"/>
              <w:marTop w:val="0"/>
              <w:marBottom w:val="30"/>
              <w:divBdr>
                <w:top w:val="none" w:sz="0" w:space="0" w:color="auto"/>
                <w:left w:val="none" w:sz="0" w:space="0" w:color="auto"/>
                <w:bottom w:val="none" w:sz="0" w:space="0" w:color="auto"/>
                <w:right w:val="none" w:sz="0" w:space="0" w:color="auto"/>
              </w:divBdr>
            </w:div>
            <w:div w:id="1941795678">
              <w:marLeft w:val="0"/>
              <w:marRight w:val="0"/>
              <w:marTop w:val="0"/>
              <w:marBottom w:val="0"/>
              <w:divBdr>
                <w:top w:val="none" w:sz="0" w:space="0" w:color="auto"/>
                <w:left w:val="none" w:sz="0" w:space="0" w:color="auto"/>
                <w:bottom w:val="none" w:sz="0" w:space="0" w:color="auto"/>
                <w:right w:val="none" w:sz="0" w:space="0" w:color="auto"/>
              </w:divBdr>
            </w:div>
          </w:divsChild>
        </w:div>
        <w:div w:id="852379289">
          <w:marLeft w:val="-225"/>
          <w:marRight w:val="-225"/>
          <w:marTop w:val="0"/>
          <w:marBottom w:val="300"/>
          <w:divBdr>
            <w:top w:val="none" w:sz="0" w:space="0" w:color="auto"/>
            <w:left w:val="none" w:sz="0" w:space="0" w:color="auto"/>
            <w:bottom w:val="none" w:sz="0" w:space="0" w:color="auto"/>
            <w:right w:val="none" w:sz="0" w:space="0" w:color="auto"/>
          </w:divBdr>
          <w:divsChild>
            <w:div w:id="1159688585">
              <w:marLeft w:val="0"/>
              <w:marRight w:val="0"/>
              <w:marTop w:val="0"/>
              <w:marBottom w:val="30"/>
              <w:divBdr>
                <w:top w:val="none" w:sz="0" w:space="0" w:color="auto"/>
                <w:left w:val="none" w:sz="0" w:space="0" w:color="auto"/>
                <w:bottom w:val="none" w:sz="0" w:space="0" w:color="auto"/>
                <w:right w:val="none" w:sz="0" w:space="0" w:color="auto"/>
              </w:divBdr>
            </w:div>
            <w:div w:id="855076506">
              <w:marLeft w:val="0"/>
              <w:marRight w:val="0"/>
              <w:marTop w:val="0"/>
              <w:marBottom w:val="0"/>
              <w:divBdr>
                <w:top w:val="none" w:sz="0" w:space="0" w:color="auto"/>
                <w:left w:val="none" w:sz="0" w:space="0" w:color="auto"/>
                <w:bottom w:val="none" w:sz="0" w:space="0" w:color="auto"/>
                <w:right w:val="none" w:sz="0" w:space="0" w:color="auto"/>
              </w:divBdr>
            </w:div>
          </w:divsChild>
        </w:div>
        <w:div w:id="654530337">
          <w:marLeft w:val="-225"/>
          <w:marRight w:val="-225"/>
          <w:marTop w:val="0"/>
          <w:marBottom w:val="300"/>
          <w:divBdr>
            <w:top w:val="none" w:sz="0" w:space="0" w:color="auto"/>
            <w:left w:val="none" w:sz="0" w:space="0" w:color="auto"/>
            <w:bottom w:val="none" w:sz="0" w:space="0" w:color="auto"/>
            <w:right w:val="none" w:sz="0" w:space="0" w:color="auto"/>
          </w:divBdr>
          <w:divsChild>
            <w:div w:id="25179911">
              <w:marLeft w:val="0"/>
              <w:marRight w:val="0"/>
              <w:marTop w:val="0"/>
              <w:marBottom w:val="30"/>
              <w:divBdr>
                <w:top w:val="none" w:sz="0" w:space="0" w:color="auto"/>
                <w:left w:val="none" w:sz="0" w:space="0" w:color="auto"/>
                <w:bottom w:val="none" w:sz="0" w:space="0" w:color="auto"/>
                <w:right w:val="none" w:sz="0" w:space="0" w:color="auto"/>
              </w:divBdr>
            </w:div>
            <w:div w:id="758989766">
              <w:marLeft w:val="0"/>
              <w:marRight w:val="0"/>
              <w:marTop w:val="0"/>
              <w:marBottom w:val="0"/>
              <w:divBdr>
                <w:top w:val="none" w:sz="0" w:space="0" w:color="auto"/>
                <w:left w:val="none" w:sz="0" w:space="0" w:color="auto"/>
                <w:bottom w:val="none" w:sz="0" w:space="0" w:color="auto"/>
                <w:right w:val="none" w:sz="0" w:space="0" w:color="auto"/>
              </w:divBdr>
            </w:div>
          </w:divsChild>
        </w:div>
        <w:div w:id="2146387724">
          <w:marLeft w:val="-225"/>
          <w:marRight w:val="-225"/>
          <w:marTop w:val="0"/>
          <w:marBottom w:val="300"/>
          <w:divBdr>
            <w:top w:val="none" w:sz="0" w:space="0" w:color="auto"/>
            <w:left w:val="none" w:sz="0" w:space="0" w:color="auto"/>
            <w:bottom w:val="none" w:sz="0" w:space="0" w:color="auto"/>
            <w:right w:val="none" w:sz="0" w:space="0" w:color="auto"/>
          </w:divBdr>
          <w:divsChild>
            <w:div w:id="518861435">
              <w:marLeft w:val="0"/>
              <w:marRight w:val="0"/>
              <w:marTop w:val="0"/>
              <w:marBottom w:val="30"/>
              <w:divBdr>
                <w:top w:val="none" w:sz="0" w:space="0" w:color="auto"/>
                <w:left w:val="none" w:sz="0" w:space="0" w:color="auto"/>
                <w:bottom w:val="none" w:sz="0" w:space="0" w:color="auto"/>
                <w:right w:val="none" w:sz="0" w:space="0" w:color="auto"/>
              </w:divBdr>
            </w:div>
            <w:div w:id="421266299">
              <w:marLeft w:val="0"/>
              <w:marRight w:val="0"/>
              <w:marTop w:val="0"/>
              <w:marBottom w:val="0"/>
              <w:divBdr>
                <w:top w:val="none" w:sz="0" w:space="0" w:color="auto"/>
                <w:left w:val="none" w:sz="0" w:space="0" w:color="auto"/>
                <w:bottom w:val="none" w:sz="0" w:space="0" w:color="auto"/>
                <w:right w:val="none" w:sz="0" w:space="0" w:color="auto"/>
              </w:divBdr>
              <w:divsChild>
                <w:div w:id="284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3660">
          <w:marLeft w:val="-225"/>
          <w:marRight w:val="-225"/>
          <w:marTop w:val="0"/>
          <w:marBottom w:val="300"/>
          <w:divBdr>
            <w:top w:val="none" w:sz="0" w:space="0" w:color="auto"/>
            <w:left w:val="none" w:sz="0" w:space="0" w:color="auto"/>
            <w:bottom w:val="none" w:sz="0" w:space="0" w:color="auto"/>
            <w:right w:val="none" w:sz="0" w:space="0" w:color="auto"/>
          </w:divBdr>
          <w:divsChild>
            <w:div w:id="1098796659">
              <w:marLeft w:val="0"/>
              <w:marRight w:val="0"/>
              <w:marTop w:val="0"/>
              <w:marBottom w:val="30"/>
              <w:divBdr>
                <w:top w:val="none" w:sz="0" w:space="0" w:color="auto"/>
                <w:left w:val="none" w:sz="0" w:space="0" w:color="auto"/>
                <w:bottom w:val="none" w:sz="0" w:space="0" w:color="auto"/>
                <w:right w:val="none" w:sz="0" w:space="0" w:color="auto"/>
              </w:divBdr>
            </w:div>
            <w:div w:id="705327112">
              <w:marLeft w:val="0"/>
              <w:marRight w:val="0"/>
              <w:marTop w:val="0"/>
              <w:marBottom w:val="0"/>
              <w:divBdr>
                <w:top w:val="none" w:sz="0" w:space="0" w:color="auto"/>
                <w:left w:val="none" w:sz="0" w:space="0" w:color="auto"/>
                <w:bottom w:val="none" w:sz="0" w:space="0" w:color="auto"/>
                <w:right w:val="none" w:sz="0" w:space="0" w:color="auto"/>
              </w:divBdr>
            </w:div>
          </w:divsChild>
        </w:div>
        <w:div w:id="1179856050">
          <w:marLeft w:val="-225"/>
          <w:marRight w:val="-225"/>
          <w:marTop w:val="0"/>
          <w:marBottom w:val="300"/>
          <w:divBdr>
            <w:top w:val="none" w:sz="0" w:space="0" w:color="auto"/>
            <w:left w:val="none" w:sz="0" w:space="0" w:color="auto"/>
            <w:bottom w:val="none" w:sz="0" w:space="0" w:color="auto"/>
            <w:right w:val="none" w:sz="0" w:space="0" w:color="auto"/>
          </w:divBdr>
          <w:divsChild>
            <w:div w:id="1685284567">
              <w:marLeft w:val="0"/>
              <w:marRight w:val="0"/>
              <w:marTop w:val="0"/>
              <w:marBottom w:val="30"/>
              <w:divBdr>
                <w:top w:val="none" w:sz="0" w:space="0" w:color="auto"/>
                <w:left w:val="none" w:sz="0" w:space="0" w:color="auto"/>
                <w:bottom w:val="none" w:sz="0" w:space="0" w:color="auto"/>
                <w:right w:val="none" w:sz="0" w:space="0" w:color="auto"/>
              </w:divBdr>
            </w:div>
            <w:div w:id="1940260856">
              <w:marLeft w:val="0"/>
              <w:marRight w:val="0"/>
              <w:marTop w:val="0"/>
              <w:marBottom w:val="0"/>
              <w:divBdr>
                <w:top w:val="none" w:sz="0" w:space="0" w:color="auto"/>
                <w:left w:val="none" w:sz="0" w:space="0" w:color="auto"/>
                <w:bottom w:val="none" w:sz="0" w:space="0" w:color="auto"/>
                <w:right w:val="none" w:sz="0" w:space="0" w:color="auto"/>
              </w:divBdr>
            </w:div>
          </w:divsChild>
        </w:div>
        <w:div w:id="1378315172">
          <w:marLeft w:val="-225"/>
          <w:marRight w:val="-225"/>
          <w:marTop w:val="0"/>
          <w:marBottom w:val="300"/>
          <w:divBdr>
            <w:top w:val="none" w:sz="0" w:space="0" w:color="auto"/>
            <w:left w:val="none" w:sz="0" w:space="0" w:color="auto"/>
            <w:bottom w:val="none" w:sz="0" w:space="0" w:color="auto"/>
            <w:right w:val="none" w:sz="0" w:space="0" w:color="auto"/>
          </w:divBdr>
          <w:divsChild>
            <w:div w:id="1263689797">
              <w:marLeft w:val="0"/>
              <w:marRight w:val="0"/>
              <w:marTop w:val="0"/>
              <w:marBottom w:val="30"/>
              <w:divBdr>
                <w:top w:val="none" w:sz="0" w:space="0" w:color="auto"/>
                <w:left w:val="none" w:sz="0" w:space="0" w:color="auto"/>
                <w:bottom w:val="none" w:sz="0" w:space="0" w:color="auto"/>
                <w:right w:val="none" w:sz="0" w:space="0" w:color="auto"/>
              </w:divBdr>
            </w:div>
            <w:div w:id="13012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2020-10-23T08:26:00Z</dcterms:created>
  <dcterms:modified xsi:type="dcterms:W3CDTF">2020-10-23T08:30:00Z</dcterms:modified>
</cp:coreProperties>
</file>