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Tên thủ tục:</w:t>
      </w:r>
    </w:p>
    <w:p w:rsidR="00006965" w:rsidRPr="00006965" w:rsidRDefault="00006965" w:rsidP="00006965">
      <w:pPr>
        <w:shd w:val="clear" w:color="auto" w:fill="FFFFFF"/>
        <w:spacing w:line="240" w:lineRule="auto"/>
        <w:rPr>
          <w:rFonts w:eastAsia="Times New Roman" w:cs="Times New Roman"/>
          <w:color w:val="1E2F41"/>
          <w:sz w:val="26"/>
          <w:szCs w:val="26"/>
        </w:rPr>
      </w:pPr>
      <w:bookmarkStart w:id="0" w:name="_GoBack"/>
      <w:r w:rsidRPr="00006965">
        <w:rPr>
          <w:rFonts w:eastAsia="Times New Roman" w:cs="Times New Roman"/>
          <w:color w:val="1E2F41"/>
          <w:sz w:val="26"/>
          <w:szCs w:val="26"/>
        </w:rPr>
        <w:t>Chuyển trường đối với học sinh trung học cơ sở</w:t>
      </w:r>
    </w:p>
    <w:bookmarkEnd w:id="0"/>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Cấp thực hiện:</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Cấp Tỉnh, Cấp Huyện</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Loại thủ tục:</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TTHC được luật giao quy định chi tiết</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Lĩnh vực:</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Giáo dục và Đào tạo thuộc hệ thống giáo dục quốc dân</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Trình tự thực hiện:</w:t>
      </w:r>
    </w:p>
    <w:p w:rsidR="00006965" w:rsidRPr="00006965" w:rsidRDefault="00006965" w:rsidP="00006965">
      <w:pPr>
        <w:shd w:val="clear" w:color="auto" w:fill="FFFFFF"/>
        <w:spacing w:after="0" w:line="240" w:lineRule="auto"/>
        <w:rPr>
          <w:rFonts w:eastAsia="Times New Roman" w:cs="Times New Roman"/>
          <w:color w:val="1E2F41"/>
          <w:sz w:val="26"/>
          <w:szCs w:val="26"/>
        </w:rPr>
      </w:pPr>
      <w:r w:rsidRPr="00006965">
        <w:rPr>
          <w:rFonts w:eastAsia="Times New Roman" w:cs="Times New Roman"/>
          <w:color w:val="1E2F41"/>
          <w:sz w:val="26"/>
          <w:szCs w:val="26"/>
        </w:rPr>
        <w:t>Đối với học sinh chuyển trường trong cùng tỉnh, thành phố: Hiệu trưởng nhà trường nơi đến tiếp nhận hồ sơ và xem xét, giải quyết theo quy định của Giám đốc sở giáo dục và đào tạo.</w:t>
      </w:r>
      <w:r w:rsidRPr="00006965">
        <w:rPr>
          <w:rFonts w:eastAsia="Times New Roman" w:cs="Times New Roman"/>
          <w:color w:val="1E2F41"/>
          <w:sz w:val="26"/>
          <w:szCs w:val="26"/>
        </w:rPr>
        <w:br/>
        <w:t>Đối với học sinh chuyển trường đến từ tỉnh, thành phố khác: Phòng giáo dục và đào tạo nơi đến tiếp nhận và giới thiệu về trường theo nơi cư trú, kèm theo hồ sơ đã được kiểm tra. Việc chuyển trường được thực hiện khi kết thúc học kỳ I của năm học hoặc trong thời gian hè trước khi khai giảng năm học mới. Trường hợp ngoại lệ về thời gian do Trưởng phòng giáo dục và đào tạo nơi đến xem xét, quyết định.</w:t>
      </w:r>
    </w:p>
    <w:p w:rsidR="00006965" w:rsidRPr="00006965" w:rsidRDefault="00006965" w:rsidP="00006965">
      <w:pPr>
        <w:shd w:val="clear" w:color="auto" w:fill="FFFFFF"/>
        <w:spacing w:line="240" w:lineRule="auto"/>
        <w:rPr>
          <w:rFonts w:eastAsia="Times New Roman" w:cs="Times New Roman"/>
          <w:color w:val="1E2F41"/>
          <w:sz w:val="26"/>
          <w:szCs w:val="26"/>
        </w:rPr>
      </w:pPr>
    </w:p>
    <w:p w:rsidR="00006965" w:rsidRPr="00006965" w:rsidRDefault="00006965" w:rsidP="00006965">
      <w:pPr>
        <w:shd w:val="clear" w:color="auto" w:fill="FFFFFF"/>
        <w:spacing w:line="240" w:lineRule="auto"/>
        <w:rPr>
          <w:rFonts w:eastAsia="Times New Roman" w:cs="Times New Roman"/>
          <w:color w:val="333333"/>
          <w:sz w:val="26"/>
          <w:szCs w:val="26"/>
        </w:rPr>
      </w:pPr>
      <w:r w:rsidRPr="00006965">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006965" w:rsidRPr="00006965" w:rsidTr="00006965">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Mô tả</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Chưa quy định cụ thể.</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Chưa quy định cụ thể.</w:t>
            </w:r>
          </w:p>
        </w:tc>
      </w:tr>
      <w:tr w:rsidR="00006965" w:rsidRPr="00006965" w:rsidTr="00006965">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Chưa quy định cụ thể.</w:t>
            </w:r>
          </w:p>
        </w:tc>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Chưa quy định cụ thể.</w:t>
            </w:r>
          </w:p>
        </w:tc>
      </w:tr>
    </w:tbl>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Thành phần hồ sơ:</w:t>
      </w:r>
    </w:p>
    <w:p w:rsidR="00006965" w:rsidRPr="00006965" w:rsidRDefault="00006965" w:rsidP="00006965">
      <w:pPr>
        <w:shd w:val="clear" w:color="auto" w:fill="FFFFFF"/>
        <w:spacing w:line="240" w:lineRule="auto"/>
        <w:rPr>
          <w:rFonts w:eastAsia="Times New Roman" w:cs="Times New Roman"/>
          <w:color w:val="333333"/>
          <w:sz w:val="26"/>
          <w:szCs w:val="26"/>
        </w:rPr>
      </w:pPr>
      <w:r w:rsidRPr="00006965">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006965" w:rsidRPr="00006965" w:rsidTr="00006965">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Số lượng</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Đơn xin chuyển trường do cha hoặc mẹ hoặc người giám hộ ký.</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1</w:t>
            </w:r>
            <w:r w:rsidRPr="00006965">
              <w:rPr>
                <w:rFonts w:eastAsia="Times New Roman" w:cs="Times New Roman"/>
                <w:sz w:val="26"/>
                <w:szCs w:val="26"/>
              </w:rPr>
              <w:br/>
              <w:t>Bản sao: 0</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Học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1</w:t>
            </w:r>
            <w:r w:rsidRPr="00006965">
              <w:rPr>
                <w:rFonts w:eastAsia="Times New Roman" w:cs="Times New Roman"/>
                <w:sz w:val="26"/>
                <w:szCs w:val="26"/>
              </w:rPr>
              <w:br/>
            </w:r>
            <w:r w:rsidRPr="00006965">
              <w:rPr>
                <w:rFonts w:eastAsia="Times New Roman" w:cs="Times New Roman"/>
                <w:sz w:val="26"/>
                <w:szCs w:val="26"/>
              </w:rPr>
              <w:lastRenderedPageBreak/>
              <w:t>Bản sao: 0</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lastRenderedPageBreak/>
              <w:t>Bằng tốt nghiệp cấp học dưới (bản công chứng).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0</w:t>
            </w:r>
            <w:r w:rsidRPr="00006965">
              <w:rPr>
                <w:rFonts w:eastAsia="Times New Roman" w:cs="Times New Roman"/>
                <w:sz w:val="26"/>
                <w:szCs w:val="26"/>
              </w:rPr>
              <w:br/>
              <w:t>Bản sao: 1</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Giấy chứng nhận trúng tuyển vào lớp đầu cấp trung học phổ thông quy định cụ thể loại hình trường được tuyển (công lập hoặc ngoài công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1</w:t>
            </w:r>
            <w:r w:rsidRPr="00006965">
              <w:rPr>
                <w:rFonts w:eastAsia="Times New Roman" w:cs="Times New Roman"/>
                <w:sz w:val="26"/>
                <w:szCs w:val="26"/>
              </w:rPr>
              <w:br/>
              <w:t>Bản sao: 0</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Giấy giới thiệu chuyển trường do Hiệu trưởng nhà trường nơi đi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1</w:t>
            </w:r>
            <w:r w:rsidRPr="00006965">
              <w:rPr>
                <w:rFonts w:eastAsia="Times New Roman" w:cs="Times New Roman"/>
                <w:sz w:val="26"/>
                <w:szCs w:val="26"/>
              </w:rPr>
              <w:br/>
              <w:t>Bản sao: 0</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Các giấy tờ hợp lệ để được hưởng chế độ ưu tiên, khuyến khích trong học tập, thi tuyển sinh, thi tốt nghiệp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1</w:t>
            </w:r>
            <w:r w:rsidRPr="00006965">
              <w:rPr>
                <w:rFonts w:eastAsia="Times New Roman" w:cs="Times New Roman"/>
                <w:sz w:val="26"/>
                <w:szCs w:val="26"/>
              </w:rPr>
              <w:br/>
              <w:t>Bản sao: 0</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Hộ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1</w:t>
            </w:r>
            <w:r w:rsidRPr="00006965">
              <w:rPr>
                <w:rFonts w:eastAsia="Times New Roman" w:cs="Times New Roman"/>
                <w:sz w:val="26"/>
                <w:szCs w:val="26"/>
              </w:rPr>
              <w:br/>
              <w:t>Bản sao: 1</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Bản sao giấy khai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0</w:t>
            </w:r>
            <w:r w:rsidRPr="00006965">
              <w:rPr>
                <w:rFonts w:eastAsia="Times New Roman" w:cs="Times New Roman"/>
                <w:sz w:val="26"/>
                <w:szCs w:val="26"/>
              </w:rPr>
              <w:br/>
              <w:t>Bản sao: 1</w:t>
            </w:r>
          </w:p>
        </w:tc>
      </w:tr>
      <w:tr w:rsidR="00006965" w:rsidRPr="00006965" w:rsidTr="0000696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Giấy giới thiệu chuyển trường do Trưởng phòng giáo dục và đào tạo (đối với cấp trung học cơ sở)</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1</w:t>
            </w:r>
            <w:r w:rsidRPr="00006965">
              <w:rPr>
                <w:rFonts w:eastAsia="Times New Roman" w:cs="Times New Roman"/>
                <w:sz w:val="26"/>
                <w:szCs w:val="26"/>
              </w:rPr>
              <w:br/>
              <w:t>Bản sao: 0</w:t>
            </w:r>
          </w:p>
        </w:tc>
      </w:tr>
      <w:tr w:rsidR="00006965" w:rsidRPr="00006965" w:rsidTr="00006965">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jc w:val="both"/>
              <w:rPr>
                <w:rFonts w:eastAsia="Times New Roman" w:cs="Times New Roman"/>
                <w:sz w:val="26"/>
                <w:szCs w:val="26"/>
              </w:rPr>
            </w:pPr>
            <w:r w:rsidRPr="00006965">
              <w:rPr>
                <w:rFonts w:eastAsia="Times New Roman" w:cs="Times New Roman"/>
                <w:sz w:val="26"/>
                <w:szCs w:val="26"/>
              </w:rPr>
              <w:t>Giấy xác nhận của chính quyền địa phương nơi học sinh cư trú với những học sinh có hoàn cảnh đặc biệt khó khăn về gia đình</w:t>
            </w:r>
          </w:p>
        </w:tc>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Bản chính: 1</w:t>
            </w:r>
            <w:r w:rsidRPr="00006965">
              <w:rPr>
                <w:rFonts w:eastAsia="Times New Roman" w:cs="Times New Roman"/>
                <w:sz w:val="26"/>
                <w:szCs w:val="26"/>
              </w:rPr>
              <w:br/>
              <w:t>Bản sao: 0</w:t>
            </w:r>
          </w:p>
        </w:tc>
      </w:tr>
    </w:tbl>
    <w:p w:rsidR="00006965" w:rsidRPr="00006965" w:rsidRDefault="00006965" w:rsidP="00006965">
      <w:pPr>
        <w:shd w:val="clear" w:color="auto" w:fill="FFFFFF"/>
        <w:spacing w:line="240" w:lineRule="auto"/>
        <w:rPr>
          <w:rFonts w:eastAsia="Times New Roman" w:cs="Times New Roman"/>
          <w:color w:val="1E2F41"/>
          <w:sz w:val="26"/>
          <w:szCs w:val="26"/>
        </w:rPr>
      </w:pP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Đối tượng thực hiện:</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Công dân Việt Nam, Người Việt Nam định cư ở nước ngoài, Người nước ngoài, Cán bộ, công chức, viên chức</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Cơ quan thực hiện:</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Cơ sở giáo dục phổ thông, Phòng Giáo dục và Đào tạo</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lastRenderedPageBreak/>
        <w:t>Cơ quan có thẩm quyền:</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Không có thông tin</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Địa chỉ tiếp nhận HS:</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Không có thông tin</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Cơ quan được ủy quyền:</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Không có thông tin</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Cơ quan phối hợp:</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Không có thông tin</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Kết quả thực hiện:</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Tiếp nhận học sinh trung học cơ sở của Hiệu trưởng hoặc Phòng giáo dục và đào tạo</w:t>
      </w:r>
    </w:p>
    <w:p w:rsidR="00006965" w:rsidRPr="00006965" w:rsidRDefault="00006965" w:rsidP="00006965">
      <w:pPr>
        <w:shd w:val="clear" w:color="auto" w:fill="FFFFFF"/>
        <w:spacing w:line="240" w:lineRule="auto"/>
        <w:rPr>
          <w:rFonts w:eastAsia="Times New Roman" w:cs="Times New Roman"/>
          <w:color w:val="333333"/>
          <w:sz w:val="26"/>
          <w:szCs w:val="26"/>
        </w:rPr>
      </w:pPr>
      <w:r w:rsidRPr="00006965">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80"/>
        <w:gridCol w:w="1965"/>
        <w:gridCol w:w="2580"/>
      </w:tblGrid>
      <w:tr w:rsidR="00006965" w:rsidRPr="00006965" w:rsidTr="00006965">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Số ký hiệu</w:t>
            </w:r>
          </w:p>
        </w:tc>
        <w:tc>
          <w:tcPr>
            <w:tcW w:w="4080"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color w:val="1E2F41"/>
                <w:sz w:val="26"/>
                <w:szCs w:val="26"/>
              </w:rPr>
            </w:pPr>
            <w:r w:rsidRPr="00006965">
              <w:rPr>
                <w:rFonts w:eastAsia="Times New Roman" w:cs="Times New Roman"/>
                <w:color w:val="1E2F41"/>
                <w:sz w:val="26"/>
                <w:szCs w:val="26"/>
              </w:rPr>
              <w:t>Cơ quan ban hành</w:t>
            </w:r>
          </w:p>
        </w:tc>
      </w:tr>
      <w:tr w:rsidR="00006965" w:rsidRPr="00006965" w:rsidTr="00006965">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51/2002/QĐ-BGDĐT</w:t>
            </w:r>
          </w:p>
        </w:tc>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Quyết định 51/2002/QĐ-BGDĐT</w:t>
            </w:r>
          </w:p>
        </w:tc>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25-12-2002</w:t>
            </w:r>
          </w:p>
        </w:tc>
        <w:tc>
          <w:tcPr>
            <w:tcW w:w="0" w:type="auto"/>
            <w:tcBorders>
              <w:bottom w:val="nil"/>
            </w:tcBorders>
            <w:shd w:val="clear" w:color="auto" w:fill="auto"/>
            <w:tcMar>
              <w:top w:w="150" w:type="dxa"/>
              <w:left w:w="150" w:type="dxa"/>
              <w:bottom w:w="150" w:type="dxa"/>
              <w:right w:w="150" w:type="dxa"/>
            </w:tcMar>
            <w:vAlign w:val="center"/>
            <w:hideMark/>
          </w:tcPr>
          <w:p w:rsidR="00006965" w:rsidRPr="00006965" w:rsidRDefault="00006965" w:rsidP="00006965">
            <w:pPr>
              <w:spacing w:after="0" w:line="330" w:lineRule="atLeast"/>
              <w:rPr>
                <w:rFonts w:eastAsia="Times New Roman" w:cs="Times New Roman"/>
                <w:sz w:val="26"/>
                <w:szCs w:val="26"/>
              </w:rPr>
            </w:pPr>
            <w:r w:rsidRPr="00006965">
              <w:rPr>
                <w:rFonts w:eastAsia="Times New Roman" w:cs="Times New Roman"/>
                <w:sz w:val="26"/>
                <w:szCs w:val="26"/>
              </w:rPr>
              <w:t>Bộ Giáo dục và Đào tạo</w:t>
            </w:r>
          </w:p>
        </w:tc>
      </w:tr>
    </w:tbl>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Yêu cầu, điều kiện thực hiện:</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 xml:space="preserve">a) Về đối tượng: - Học sinh chuyển nơi cư trú theo cha hoặc mẹ hoặc người giám hộ. - Học sinh có hoàn cảnh đặc biệt khó khăn về gia đình hoặc có lý do thực sự chính đáng để phải chuyển trường. b) Điều kiện chung: - Trừ các quy định tại khoản 2 và 3 Điều 2 Quy định chuyển trường và tiếp nhận học sinh học tại các trường trung học cơ sở và trung học phổ thông ban hành kèm theo Quyết định số 51/2002/QĐ-BGDĐT ngày 25/12/2002 của bộ trưởng Bộ Giáo dục và Đào tạo, học sinh được xét và giải quyết chuyển trường nếu bảo đảm đủ các điều kiện về đối tượng và hồ sơ thủ tục tại các Điều 4 và 5 của Quy định này. - Việc chuyển trường từ trường trung học bình thường sang trường trung học chuyên biệt (phổ thông dân tộc nội trú, trường chuyên, trường năng khiếu) thực hiện theo quy chế riêng của trường chuyên biệt đó. - Việc chuyển trường từ trường trung học phổ thông ngoài công lập sang trường trung học phổ thông công lập chỉ được xem xét, giải quyết trong hai trường hợp sau: + Trường hợp học sinh đang học tại trường trung học phổ thông ngoài công lập phải chuyển nơi cư trú theo cha mẹ hoặc người giám hộ đến vùng có điều kiện kinh tế - xã hội đặc biệt khó khăn mà ở đó không có trường trung học phổ thông ngoài công lập thì Giám đốc Sở Giáo dục và Đào tạo nơi đến xem xét, 775 quyết định từng trường hợp cụ thể đối với việc chuyển vào học trường trung học phổ thông công lập. + Trường hợp học sinh đang học tại trường trung học phổ thông ngoài công lập thuộc loại trường có thi tuyển đầu vào phải chuyển nơi cư trú theo cha hoặc mẹ hoặc người giám hộ, mà ở đó không có trường trung học phổ thông ngoài công lập có chất lượng tương đương thì Giám đốc Sở Giáo dục và Đào tạo nơi đến xem xét, quyết định từng trường hợp cụ thể đối với việc chuyển vào học trường trung học phổ thông công lập. </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lastRenderedPageBreak/>
        <w:t>Từ khóa:</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Không có thông tin</w:t>
      </w:r>
    </w:p>
    <w:p w:rsidR="00006965" w:rsidRPr="00006965" w:rsidRDefault="00006965" w:rsidP="00006965">
      <w:pPr>
        <w:shd w:val="clear" w:color="auto" w:fill="FFFFFF"/>
        <w:spacing w:after="30" w:line="240" w:lineRule="auto"/>
        <w:rPr>
          <w:rFonts w:eastAsia="Times New Roman" w:cs="Times New Roman"/>
          <w:color w:val="333333"/>
          <w:sz w:val="26"/>
          <w:szCs w:val="26"/>
        </w:rPr>
      </w:pPr>
      <w:r w:rsidRPr="00006965">
        <w:rPr>
          <w:rFonts w:eastAsia="Times New Roman" w:cs="Times New Roman"/>
          <w:color w:val="333333"/>
          <w:sz w:val="26"/>
          <w:szCs w:val="26"/>
        </w:rPr>
        <w:t>Mô tả:</w:t>
      </w:r>
    </w:p>
    <w:p w:rsidR="00006965" w:rsidRPr="00006965" w:rsidRDefault="00006965" w:rsidP="00006965">
      <w:pPr>
        <w:shd w:val="clear" w:color="auto" w:fill="FFFFFF"/>
        <w:spacing w:line="240" w:lineRule="auto"/>
        <w:rPr>
          <w:rFonts w:eastAsia="Times New Roman" w:cs="Times New Roman"/>
          <w:color w:val="1E2F41"/>
          <w:sz w:val="26"/>
          <w:szCs w:val="26"/>
        </w:rPr>
      </w:pPr>
      <w:r w:rsidRPr="00006965">
        <w:rPr>
          <w:rFonts w:eastAsia="Times New Roman" w:cs="Times New Roman"/>
          <w:color w:val="1E2F41"/>
          <w:sz w:val="26"/>
          <w:szCs w:val="26"/>
        </w:rPr>
        <w:t>Không có thông tin</w:t>
      </w:r>
    </w:p>
    <w:p w:rsidR="003E268A" w:rsidRPr="00006965" w:rsidRDefault="003E268A">
      <w:pPr>
        <w:rPr>
          <w:rFonts w:cs="Times New Roman"/>
          <w:sz w:val="26"/>
          <w:szCs w:val="26"/>
        </w:rPr>
      </w:pPr>
    </w:p>
    <w:sectPr w:rsidR="003E268A" w:rsidRPr="00006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65"/>
    <w:rsid w:val="00006965"/>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08360">
      <w:bodyDiv w:val="1"/>
      <w:marLeft w:val="0"/>
      <w:marRight w:val="0"/>
      <w:marTop w:val="0"/>
      <w:marBottom w:val="0"/>
      <w:divBdr>
        <w:top w:val="none" w:sz="0" w:space="0" w:color="auto"/>
        <w:left w:val="none" w:sz="0" w:space="0" w:color="auto"/>
        <w:bottom w:val="none" w:sz="0" w:space="0" w:color="auto"/>
        <w:right w:val="none" w:sz="0" w:space="0" w:color="auto"/>
      </w:divBdr>
      <w:divsChild>
        <w:div w:id="745493084">
          <w:marLeft w:val="-225"/>
          <w:marRight w:val="-225"/>
          <w:marTop w:val="0"/>
          <w:marBottom w:val="300"/>
          <w:divBdr>
            <w:top w:val="none" w:sz="0" w:space="0" w:color="auto"/>
            <w:left w:val="none" w:sz="0" w:space="0" w:color="auto"/>
            <w:bottom w:val="none" w:sz="0" w:space="0" w:color="auto"/>
            <w:right w:val="none" w:sz="0" w:space="0" w:color="auto"/>
          </w:divBdr>
          <w:divsChild>
            <w:div w:id="1181316730">
              <w:marLeft w:val="0"/>
              <w:marRight w:val="0"/>
              <w:marTop w:val="0"/>
              <w:marBottom w:val="30"/>
              <w:divBdr>
                <w:top w:val="none" w:sz="0" w:space="0" w:color="auto"/>
                <w:left w:val="none" w:sz="0" w:space="0" w:color="auto"/>
                <w:bottom w:val="none" w:sz="0" w:space="0" w:color="auto"/>
                <w:right w:val="none" w:sz="0" w:space="0" w:color="auto"/>
              </w:divBdr>
            </w:div>
            <w:div w:id="1157526567">
              <w:marLeft w:val="0"/>
              <w:marRight w:val="0"/>
              <w:marTop w:val="0"/>
              <w:marBottom w:val="0"/>
              <w:divBdr>
                <w:top w:val="none" w:sz="0" w:space="0" w:color="auto"/>
                <w:left w:val="none" w:sz="0" w:space="0" w:color="auto"/>
                <w:bottom w:val="none" w:sz="0" w:space="0" w:color="auto"/>
                <w:right w:val="none" w:sz="0" w:space="0" w:color="auto"/>
              </w:divBdr>
            </w:div>
          </w:divsChild>
        </w:div>
        <w:div w:id="1543245600">
          <w:marLeft w:val="-225"/>
          <w:marRight w:val="-225"/>
          <w:marTop w:val="0"/>
          <w:marBottom w:val="300"/>
          <w:divBdr>
            <w:top w:val="none" w:sz="0" w:space="0" w:color="auto"/>
            <w:left w:val="none" w:sz="0" w:space="0" w:color="auto"/>
            <w:bottom w:val="none" w:sz="0" w:space="0" w:color="auto"/>
            <w:right w:val="none" w:sz="0" w:space="0" w:color="auto"/>
          </w:divBdr>
          <w:divsChild>
            <w:div w:id="930090608">
              <w:marLeft w:val="0"/>
              <w:marRight w:val="0"/>
              <w:marTop w:val="0"/>
              <w:marBottom w:val="30"/>
              <w:divBdr>
                <w:top w:val="none" w:sz="0" w:space="0" w:color="auto"/>
                <w:left w:val="none" w:sz="0" w:space="0" w:color="auto"/>
                <w:bottom w:val="none" w:sz="0" w:space="0" w:color="auto"/>
                <w:right w:val="none" w:sz="0" w:space="0" w:color="auto"/>
              </w:divBdr>
            </w:div>
            <w:div w:id="1677229534">
              <w:marLeft w:val="0"/>
              <w:marRight w:val="0"/>
              <w:marTop w:val="0"/>
              <w:marBottom w:val="0"/>
              <w:divBdr>
                <w:top w:val="none" w:sz="0" w:space="0" w:color="auto"/>
                <w:left w:val="none" w:sz="0" w:space="0" w:color="auto"/>
                <w:bottom w:val="none" w:sz="0" w:space="0" w:color="auto"/>
                <w:right w:val="none" w:sz="0" w:space="0" w:color="auto"/>
              </w:divBdr>
            </w:div>
          </w:divsChild>
        </w:div>
        <w:div w:id="1988431308">
          <w:marLeft w:val="-225"/>
          <w:marRight w:val="-225"/>
          <w:marTop w:val="0"/>
          <w:marBottom w:val="300"/>
          <w:divBdr>
            <w:top w:val="none" w:sz="0" w:space="0" w:color="auto"/>
            <w:left w:val="none" w:sz="0" w:space="0" w:color="auto"/>
            <w:bottom w:val="none" w:sz="0" w:space="0" w:color="auto"/>
            <w:right w:val="none" w:sz="0" w:space="0" w:color="auto"/>
          </w:divBdr>
          <w:divsChild>
            <w:div w:id="1177036094">
              <w:marLeft w:val="0"/>
              <w:marRight w:val="0"/>
              <w:marTop w:val="0"/>
              <w:marBottom w:val="30"/>
              <w:divBdr>
                <w:top w:val="none" w:sz="0" w:space="0" w:color="auto"/>
                <w:left w:val="none" w:sz="0" w:space="0" w:color="auto"/>
                <w:bottom w:val="none" w:sz="0" w:space="0" w:color="auto"/>
                <w:right w:val="none" w:sz="0" w:space="0" w:color="auto"/>
              </w:divBdr>
            </w:div>
            <w:div w:id="1582445164">
              <w:marLeft w:val="0"/>
              <w:marRight w:val="0"/>
              <w:marTop w:val="0"/>
              <w:marBottom w:val="0"/>
              <w:divBdr>
                <w:top w:val="none" w:sz="0" w:space="0" w:color="auto"/>
                <w:left w:val="none" w:sz="0" w:space="0" w:color="auto"/>
                <w:bottom w:val="none" w:sz="0" w:space="0" w:color="auto"/>
                <w:right w:val="none" w:sz="0" w:space="0" w:color="auto"/>
              </w:divBdr>
            </w:div>
          </w:divsChild>
        </w:div>
        <w:div w:id="677000672">
          <w:marLeft w:val="-225"/>
          <w:marRight w:val="-225"/>
          <w:marTop w:val="0"/>
          <w:marBottom w:val="300"/>
          <w:divBdr>
            <w:top w:val="none" w:sz="0" w:space="0" w:color="auto"/>
            <w:left w:val="none" w:sz="0" w:space="0" w:color="auto"/>
            <w:bottom w:val="none" w:sz="0" w:space="0" w:color="auto"/>
            <w:right w:val="none" w:sz="0" w:space="0" w:color="auto"/>
          </w:divBdr>
          <w:divsChild>
            <w:div w:id="1224564766">
              <w:marLeft w:val="0"/>
              <w:marRight w:val="0"/>
              <w:marTop w:val="0"/>
              <w:marBottom w:val="30"/>
              <w:divBdr>
                <w:top w:val="none" w:sz="0" w:space="0" w:color="auto"/>
                <w:left w:val="none" w:sz="0" w:space="0" w:color="auto"/>
                <w:bottom w:val="none" w:sz="0" w:space="0" w:color="auto"/>
                <w:right w:val="none" w:sz="0" w:space="0" w:color="auto"/>
              </w:divBdr>
            </w:div>
            <w:div w:id="87891317">
              <w:marLeft w:val="0"/>
              <w:marRight w:val="0"/>
              <w:marTop w:val="0"/>
              <w:marBottom w:val="0"/>
              <w:divBdr>
                <w:top w:val="none" w:sz="0" w:space="0" w:color="auto"/>
                <w:left w:val="none" w:sz="0" w:space="0" w:color="auto"/>
                <w:bottom w:val="none" w:sz="0" w:space="0" w:color="auto"/>
                <w:right w:val="none" w:sz="0" w:space="0" w:color="auto"/>
              </w:divBdr>
            </w:div>
          </w:divsChild>
        </w:div>
        <w:div w:id="1015154469">
          <w:marLeft w:val="-225"/>
          <w:marRight w:val="-225"/>
          <w:marTop w:val="0"/>
          <w:marBottom w:val="300"/>
          <w:divBdr>
            <w:top w:val="none" w:sz="0" w:space="0" w:color="auto"/>
            <w:left w:val="none" w:sz="0" w:space="0" w:color="auto"/>
            <w:bottom w:val="none" w:sz="0" w:space="0" w:color="auto"/>
            <w:right w:val="none" w:sz="0" w:space="0" w:color="auto"/>
          </w:divBdr>
          <w:divsChild>
            <w:div w:id="1538660185">
              <w:marLeft w:val="0"/>
              <w:marRight w:val="0"/>
              <w:marTop w:val="0"/>
              <w:marBottom w:val="30"/>
              <w:divBdr>
                <w:top w:val="none" w:sz="0" w:space="0" w:color="auto"/>
                <w:left w:val="none" w:sz="0" w:space="0" w:color="auto"/>
                <w:bottom w:val="none" w:sz="0" w:space="0" w:color="auto"/>
                <w:right w:val="none" w:sz="0" w:space="0" w:color="auto"/>
              </w:divBdr>
            </w:div>
            <w:div w:id="460658177">
              <w:marLeft w:val="0"/>
              <w:marRight w:val="0"/>
              <w:marTop w:val="0"/>
              <w:marBottom w:val="0"/>
              <w:divBdr>
                <w:top w:val="none" w:sz="0" w:space="0" w:color="auto"/>
                <w:left w:val="none" w:sz="0" w:space="0" w:color="auto"/>
                <w:bottom w:val="none" w:sz="0" w:space="0" w:color="auto"/>
                <w:right w:val="none" w:sz="0" w:space="0" w:color="auto"/>
              </w:divBdr>
              <w:divsChild>
                <w:div w:id="11134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9633">
          <w:marLeft w:val="-225"/>
          <w:marRight w:val="-225"/>
          <w:marTop w:val="0"/>
          <w:marBottom w:val="300"/>
          <w:divBdr>
            <w:top w:val="none" w:sz="0" w:space="0" w:color="auto"/>
            <w:left w:val="none" w:sz="0" w:space="0" w:color="auto"/>
            <w:bottom w:val="none" w:sz="0" w:space="0" w:color="auto"/>
            <w:right w:val="none" w:sz="0" w:space="0" w:color="auto"/>
          </w:divBdr>
          <w:divsChild>
            <w:div w:id="730353099">
              <w:marLeft w:val="0"/>
              <w:marRight w:val="0"/>
              <w:marTop w:val="0"/>
              <w:marBottom w:val="30"/>
              <w:divBdr>
                <w:top w:val="none" w:sz="0" w:space="0" w:color="auto"/>
                <w:left w:val="none" w:sz="0" w:space="0" w:color="auto"/>
                <w:bottom w:val="none" w:sz="0" w:space="0" w:color="auto"/>
                <w:right w:val="none" w:sz="0" w:space="0" w:color="auto"/>
              </w:divBdr>
            </w:div>
            <w:div w:id="781924274">
              <w:marLeft w:val="0"/>
              <w:marRight w:val="0"/>
              <w:marTop w:val="0"/>
              <w:marBottom w:val="0"/>
              <w:divBdr>
                <w:top w:val="none" w:sz="0" w:space="0" w:color="auto"/>
                <w:left w:val="none" w:sz="0" w:space="0" w:color="auto"/>
                <w:bottom w:val="none" w:sz="0" w:space="0" w:color="auto"/>
                <w:right w:val="none" w:sz="0" w:space="0" w:color="auto"/>
              </w:divBdr>
              <w:divsChild>
                <w:div w:id="2130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395">
          <w:marLeft w:val="-225"/>
          <w:marRight w:val="-225"/>
          <w:marTop w:val="0"/>
          <w:marBottom w:val="300"/>
          <w:divBdr>
            <w:top w:val="none" w:sz="0" w:space="0" w:color="auto"/>
            <w:left w:val="none" w:sz="0" w:space="0" w:color="auto"/>
            <w:bottom w:val="none" w:sz="0" w:space="0" w:color="auto"/>
            <w:right w:val="none" w:sz="0" w:space="0" w:color="auto"/>
          </w:divBdr>
          <w:divsChild>
            <w:div w:id="1528062045">
              <w:marLeft w:val="0"/>
              <w:marRight w:val="0"/>
              <w:marTop w:val="0"/>
              <w:marBottom w:val="30"/>
              <w:divBdr>
                <w:top w:val="none" w:sz="0" w:space="0" w:color="auto"/>
                <w:left w:val="none" w:sz="0" w:space="0" w:color="auto"/>
                <w:bottom w:val="none" w:sz="0" w:space="0" w:color="auto"/>
                <w:right w:val="none" w:sz="0" w:space="0" w:color="auto"/>
              </w:divBdr>
            </w:div>
            <w:div w:id="1756512989">
              <w:marLeft w:val="0"/>
              <w:marRight w:val="0"/>
              <w:marTop w:val="0"/>
              <w:marBottom w:val="0"/>
              <w:divBdr>
                <w:top w:val="none" w:sz="0" w:space="0" w:color="auto"/>
                <w:left w:val="none" w:sz="0" w:space="0" w:color="auto"/>
                <w:bottom w:val="none" w:sz="0" w:space="0" w:color="auto"/>
                <w:right w:val="none" w:sz="0" w:space="0" w:color="auto"/>
              </w:divBdr>
              <w:divsChild>
                <w:div w:id="18367222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74730142">
          <w:marLeft w:val="-225"/>
          <w:marRight w:val="-225"/>
          <w:marTop w:val="0"/>
          <w:marBottom w:val="300"/>
          <w:divBdr>
            <w:top w:val="none" w:sz="0" w:space="0" w:color="auto"/>
            <w:left w:val="none" w:sz="0" w:space="0" w:color="auto"/>
            <w:bottom w:val="none" w:sz="0" w:space="0" w:color="auto"/>
            <w:right w:val="none" w:sz="0" w:space="0" w:color="auto"/>
          </w:divBdr>
          <w:divsChild>
            <w:div w:id="2033650942">
              <w:marLeft w:val="0"/>
              <w:marRight w:val="0"/>
              <w:marTop w:val="0"/>
              <w:marBottom w:val="30"/>
              <w:divBdr>
                <w:top w:val="none" w:sz="0" w:space="0" w:color="auto"/>
                <w:left w:val="none" w:sz="0" w:space="0" w:color="auto"/>
                <w:bottom w:val="none" w:sz="0" w:space="0" w:color="auto"/>
                <w:right w:val="none" w:sz="0" w:space="0" w:color="auto"/>
              </w:divBdr>
            </w:div>
            <w:div w:id="82993524">
              <w:marLeft w:val="0"/>
              <w:marRight w:val="0"/>
              <w:marTop w:val="0"/>
              <w:marBottom w:val="0"/>
              <w:divBdr>
                <w:top w:val="none" w:sz="0" w:space="0" w:color="auto"/>
                <w:left w:val="none" w:sz="0" w:space="0" w:color="auto"/>
                <w:bottom w:val="none" w:sz="0" w:space="0" w:color="auto"/>
                <w:right w:val="none" w:sz="0" w:space="0" w:color="auto"/>
              </w:divBdr>
            </w:div>
          </w:divsChild>
        </w:div>
        <w:div w:id="131675281">
          <w:marLeft w:val="-225"/>
          <w:marRight w:val="-225"/>
          <w:marTop w:val="0"/>
          <w:marBottom w:val="300"/>
          <w:divBdr>
            <w:top w:val="none" w:sz="0" w:space="0" w:color="auto"/>
            <w:left w:val="none" w:sz="0" w:space="0" w:color="auto"/>
            <w:bottom w:val="none" w:sz="0" w:space="0" w:color="auto"/>
            <w:right w:val="none" w:sz="0" w:space="0" w:color="auto"/>
          </w:divBdr>
          <w:divsChild>
            <w:div w:id="610356757">
              <w:marLeft w:val="0"/>
              <w:marRight w:val="0"/>
              <w:marTop w:val="0"/>
              <w:marBottom w:val="30"/>
              <w:divBdr>
                <w:top w:val="none" w:sz="0" w:space="0" w:color="auto"/>
                <w:left w:val="none" w:sz="0" w:space="0" w:color="auto"/>
                <w:bottom w:val="none" w:sz="0" w:space="0" w:color="auto"/>
                <w:right w:val="none" w:sz="0" w:space="0" w:color="auto"/>
              </w:divBdr>
            </w:div>
            <w:div w:id="743339243">
              <w:marLeft w:val="0"/>
              <w:marRight w:val="0"/>
              <w:marTop w:val="0"/>
              <w:marBottom w:val="0"/>
              <w:divBdr>
                <w:top w:val="none" w:sz="0" w:space="0" w:color="auto"/>
                <w:left w:val="none" w:sz="0" w:space="0" w:color="auto"/>
                <w:bottom w:val="none" w:sz="0" w:space="0" w:color="auto"/>
                <w:right w:val="none" w:sz="0" w:space="0" w:color="auto"/>
              </w:divBdr>
            </w:div>
          </w:divsChild>
        </w:div>
        <w:div w:id="115295898">
          <w:marLeft w:val="-225"/>
          <w:marRight w:val="-225"/>
          <w:marTop w:val="0"/>
          <w:marBottom w:val="300"/>
          <w:divBdr>
            <w:top w:val="none" w:sz="0" w:space="0" w:color="auto"/>
            <w:left w:val="none" w:sz="0" w:space="0" w:color="auto"/>
            <w:bottom w:val="none" w:sz="0" w:space="0" w:color="auto"/>
            <w:right w:val="none" w:sz="0" w:space="0" w:color="auto"/>
          </w:divBdr>
          <w:divsChild>
            <w:div w:id="1137332492">
              <w:marLeft w:val="0"/>
              <w:marRight w:val="0"/>
              <w:marTop w:val="0"/>
              <w:marBottom w:val="30"/>
              <w:divBdr>
                <w:top w:val="none" w:sz="0" w:space="0" w:color="auto"/>
                <w:left w:val="none" w:sz="0" w:space="0" w:color="auto"/>
                <w:bottom w:val="none" w:sz="0" w:space="0" w:color="auto"/>
                <w:right w:val="none" w:sz="0" w:space="0" w:color="auto"/>
              </w:divBdr>
            </w:div>
            <w:div w:id="1526553600">
              <w:marLeft w:val="0"/>
              <w:marRight w:val="0"/>
              <w:marTop w:val="0"/>
              <w:marBottom w:val="0"/>
              <w:divBdr>
                <w:top w:val="none" w:sz="0" w:space="0" w:color="auto"/>
                <w:left w:val="none" w:sz="0" w:space="0" w:color="auto"/>
                <w:bottom w:val="none" w:sz="0" w:space="0" w:color="auto"/>
                <w:right w:val="none" w:sz="0" w:space="0" w:color="auto"/>
              </w:divBdr>
            </w:div>
          </w:divsChild>
        </w:div>
        <w:div w:id="548348805">
          <w:marLeft w:val="-225"/>
          <w:marRight w:val="-225"/>
          <w:marTop w:val="0"/>
          <w:marBottom w:val="300"/>
          <w:divBdr>
            <w:top w:val="none" w:sz="0" w:space="0" w:color="auto"/>
            <w:left w:val="none" w:sz="0" w:space="0" w:color="auto"/>
            <w:bottom w:val="none" w:sz="0" w:space="0" w:color="auto"/>
            <w:right w:val="none" w:sz="0" w:space="0" w:color="auto"/>
          </w:divBdr>
          <w:divsChild>
            <w:div w:id="840119453">
              <w:marLeft w:val="0"/>
              <w:marRight w:val="0"/>
              <w:marTop w:val="0"/>
              <w:marBottom w:val="30"/>
              <w:divBdr>
                <w:top w:val="none" w:sz="0" w:space="0" w:color="auto"/>
                <w:left w:val="none" w:sz="0" w:space="0" w:color="auto"/>
                <w:bottom w:val="none" w:sz="0" w:space="0" w:color="auto"/>
                <w:right w:val="none" w:sz="0" w:space="0" w:color="auto"/>
              </w:divBdr>
            </w:div>
            <w:div w:id="261424669">
              <w:marLeft w:val="0"/>
              <w:marRight w:val="0"/>
              <w:marTop w:val="0"/>
              <w:marBottom w:val="0"/>
              <w:divBdr>
                <w:top w:val="none" w:sz="0" w:space="0" w:color="auto"/>
                <w:left w:val="none" w:sz="0" w:space="0" w:color="auto"/>
                <w:bottom w:val="none" w:sz="0" w:space="0" w:color="auto"/>
                <w:right w:val="none" w:sz="0" w:space="0" w:color="auto"/>
              </w:divBdr>
            </w:div>
          </w:divsChild>
        </w:div>
        <w:div w:id="82654510">
          <w:marLeft w:val="-225"/>
          <w:marRight w:val="-225"/>
          <w:marTop w:val="0"/>
          <w:marBottom w:val="300"/>
          <w:divBdr>
            <w:top w:val="none" w:sz="0" w:space="0" w:color="auto"/>
            <w:left w:val="none" w:sz="0" w:space="0" w:color="auto"/>
            <w:bottom w:val="none" w:sz="0" w:space="0" w:color="auto"/>
            <w:right w:val="none" w:sz="0" w:space="0" w:color="auto"/>
          </w:divBdr>
          <w:divsChild>
            <w:div w:id="972370019">
              <w:marLeft w:val="0"/>
              <w:marRight w:val="0"/>
              <w:marTop w:val="0"/>
              <w:marBottom w:val="30"/>
              <w:divBdr>
                <w:top w:val="none" w:sz="0" w:space="0" w:color="auto"/>
                <w:left w:val="none" w:sz="0" w:space="0" w:color="auto"/>
                <w:bottom w:val="none" w:sz="0" w:space="0" w:color="auto"/>
                <w:right w:val="none" w:sz="0" w:space="0" w:color="auto"/>
              </w:divBdr>
            </w:div>
            <w:div w:id="1297223040">
              <w:marLeft w:val="0"/>
              <w:marRight w:val="0"/>
              <w:marTop w:val="0"/>
              <w:marBottom w:val="0"/>
              <w:divBdr>
                <w:top w:val="none" w:sz="0" w:space="0" w:color="auto"/>
                <w:left w:val="none" w:sz="0" w:space="0" w:color="auto"/>
                <w:bottom w:val="none" w:sz="0" w:space="0" w:color="auto"/>
                <w:right w:val="none" w:sz="0" w:space="0" w:color="auto"/>
              </w:divBdr>
            </w:div>
          </w:divsChild>
        </w:div>
        <w:div w:id="1920017026">
          <w:marLeft w:val="-225"/>
          <w:marRight w:val="-225"/>
          <w:marTop w:val="0"/>
          <w:marBottom w:val="300"/>
          <w:divBdr>
            <w:top w:val="none" w:sz="0" w:space="0" w:color="auto"/>
            <w:left w:val="none" w:sz="0" w:space="0" w:color="auto"/>
            <w:bottom w:val="none" w:sz="0" w:space="0" w:color="auto"/>
            <w:right w:val="none" w:sz="0" w:space="0" w:color="auto"/>
          </w:divBdr>
          <w:divsChild>
            <w:div w:id="797988387">
              <w:marLeft w:val="0"/>
              <w:marRight w:val="0"/>
              <w:marTop w:val="0"/>
              <w:marBottom w:val="30"/>
              <w:divBdr>
                <w:top w:val="none" w:sz="0" w:space="0" w:color="auto"/>
                <w:left w:val="none" w:sz="0" w:space="0" w:color="auto"/>
                <w:bottom w:val="none" w:sz="0" w:space="0" w:color="auto"/>
                <w:right w:val="none" w:sz="0" w:space="0" w:color="auto"/>
              </w:divBdr>
            </w:div>
            <w:div w:id="338001692">
              <w:marLeft w:val="0"/>
              <w:marRight w:val="0"/>
              <w:marTop w:val="0"/>
              <w:marBottom w:val="0"/>
              <w:divBdr>
                <w:top w:val="none" w:sz="0" w:space="0" w:color="auto"/>
                <w:left w:val="none" w:sz="0" w:space="0" w:color="auto"/>
                <w:bottom w:val="none" w:sz="0" w:space="0" w:color="auto"/>
                <w:right w:val="none" w:sz="0" w:space="0" w:color="auto"/>
              </w:divBdr>
            </w:div>
          </w:divsChild>
        </w:div>
        <w:div w:id="1164515686">
          <w:marLeft w:val="-225"/>
          <w:marRight w:val="-225"/>
          <w:marTop w:val="0"/>
          <w:marBottom w:val="300"/>
          <w:divBdr>
            <w:top w:val="none" w:sz="0" w:space="0" w:color="auto"/>
            <w:left w:val="none" w:sz="0" w:space="0" w:color="auto"/>
            <w:bottom w:val="none" w:sz="0" w:space="0" w:color="auto"/>
            <w:right w:val="none" w:sz="0" w:space="0" w:color="auto"/>
          </w:divBdr>
          <w:divsChild>
            <w:div w:id="1423719984">
              <w:marLeft w:val="0"/>
              <w:marRight w:val="0"/>
              <w:marTop w:val="0"/>
              <w:marBottom w:val="30"/>
              <w:divBdr>
                <w:top w:val="none" w:sz="0" w:space="0" w:color="auto"/>
                <w:left w:val="none" w:sz="0" w:space="0" w:color="auto"/>
                <w:bottom w:val="none" w:sz="0" w:space="0" w:color="auto"/>
                <w:right w:val="none" w:sz="0" w:space="0" w:color="auto"/>
              </w:divBdr>
            </w:div>
            <w:div w:id="1454444677">
              <w:marLeft w:val="0"/>
              <w:marRight w:val="0"/>
              <w:marTop w:val="0"/>
              <w:marBottom w:val="0"/>
              <w:divBdr>
                <w:top w:val="none" w:sz="0" w:space="0" w:color="auto"/>
                <w:left w:val="none" w:sz="0" w:space="0" w:color="auto"/>
                <w:bottom w:val="none" w:sz="0" w:space="0" w:color="auto"/>
                <w:right w:val="none" w:sz="0" w:space="0" w:color="auto"/>
              </w:divBdr>
            </w:div>
          </w:divsChild>
        </w:div>
        <w:div w:id="1875462775">
          <w:marLeft w:val="-225"/>
          <w:marRight w:val="-225"/>
          <w:marTop w:val="0"/>
          <w:marBottom w:val="300"/>
          <w:divBdr>
            <w:top w:val="none" w:sz="0" w:space="0" w:color="auto"/>
            <w:left w:val="none" w:sz="0" w:space="0" w:color="auto"/>
            <w:bottom w:val="none" w:sz="0" w:space="0" w:color="auto"/>
            <w:right w:val="none" w:sz="0" w:space="0" w:color="auto"/>
          </w:divBdr>
          <w:divsChild>
            <w:div w:id="1715930211">
              <w:marLeft w:val="0"/>
              <w:marRight w:val="0"/>
              <w:marTop w:val="0"/>
              <w:marBottom w:val="30"/>
              <w:divBdr>
                <w:top w:val="none" w:sz="0" w:space="0" w:color="auto"/>
                <w:left w:val="none" w:sz="0" w:space="0" w:color="auto"/>
                <w:bottom w:val="none" w:sz="0" w:space="0" w:color="auto"/>
                <w:right w:val="none" w:sz="0" w:space="0" w:color="auto"/>
              </w:divBdr>
            </w:div>
            <w:div w:id="551041484">
              <w:marLeft w:val="0"/>
              <w:marRight w:val="0"/>
              <w:marTop w:val="0"/>
              <w:marBottom w:val="0"/>
              <w:divBdr>
                <w:top w:val="none" w:sz="0" w:space="0" w:color="auto"/>
                <w:left w:val="none" w:sz="0" w:space="0" w:color="auto"/>
                <w:bottom w:val="none" w:sz="0" w:space="0" w:color="auto"/>
                <w:right w:val="none" w:sz="0" w:space="0" w:color="auto"/>
              </w:divBdr>
              <w:divsChild>
                <w:div w:id="1209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9687">
          <w:marLeft w:val="-225"/>
          <w:marRight w:val="-225"/>
          <w:marTop w:val="0"/>
          <w:marBottom w:val="300"/>
          <w:divBdr>
            <w:top w:val="none" w:sz="0" w:space="0" w:color="auto"/>
            <w:left w:val="none" w:sz="0" w:space="0" w:color="auto"/>
            <w:bottom w:val="none" w:sz="0" w:space="0" w:color="auto"/>
            <w:right w:val="none" w:sz="0" w:space="0" w:color="auto"/>
          </w:divBdr>
          <w:divsChild>
            <w:div w:id="1189949411">
              <w:marLeft w:val="0"/>
              <w:marRight w:val="0"/>
              <w:marTop w:val="0"/>
              <w:marBottom w:val="30"/>
              <w:divBdr>
                <w:top w:val="none" w:sz="0" w:space="0" w:color="auto"/>
                <w:left w:val="none" w:sz="0" w:space="0" w:color="auto"/>
                <w:bottom w:val="none" w:sz="0" w:space="0" w:color="auto"/>
                <w:right w:val="none" w:sz="0" w:space="0" w:color="auto"/>
              </w:divBdr>
            </w:div>
            <w:div w:id="1020163527">
              <w:marLeft w:val="0"/>
              <w:marRight w:val="0"/>
              <w:marTop w:val="0"/>
              <w:marBottom w:val="0"/>
              <w:divBdr>
                <w:top w:val="none" w:sz="0" w:space="0" w:color="auto"/>
                <w:left w:val="none" w:sz="0" w:space="0" w:color="auto"/>
                <w:bottom w:val="none" w:sz="0" w:space="0" w:color="auto"/>
                <w:right w:val="none" w:sz="0" w:space="0" w:color="auto"/>
              </w:divBdr>
            </w:div>
          </w:divsChild>
        </w:div>
        <w:div w:id="1017579725">
          <w:marLeft w:val="-225"/>
          <w:marRight w:val="-225"/>
          <w:marTop w:val="0"/>
          <w:marBottom w:val="300"/>
          <w:divBdr>
            <w:top w:val="none" w:sz="0" w:space="0" w:color="auto"/>
            <w:left w:val="none" w:sz="0" w:space="0" w:color="auto"/>
            <w:bottom w:val="none" w:sz="0" w:space="0" w:color="auto"/>
            <w:right w:val="none" w:sz="0" w:space="0" w:color="auto"/>
          </w:divBdr>
          <w:divsChild>
            <w:div w:id="292030026">
              <w:marLeft w:val="0"/>
              <w:marRight w:val="0"/>
              <w:marTop w:val="0"/>
              <w:marBottom w:val="30"/>
              <w:divBdr>
                <w:top w:val="none" w:sz="0" w:space="0" w:color="auto"/>
                <w:left w:val="none" w:sz="0" w:space="0" w:color="auto"/>
                <w:bottom w:val="none" w:sz="0" w:space="0" w:color="auto"/>
                <w:right w:val="none" w:sz="0" w:space="0" w:color="auto"/>
              </w:divBdr>
            </w:div>
            <w:div w:id="1634478665">
              <w:marLeft w:val="0"/>
              <w:marRight w:val="0"/>
              <w:marTop w:val="0"/>
              <w:marBottom w:val="0"/>
              <w:divBdr>
                <w:top w:val="none" w:sz="0" w:space="0" w:color="auto"/>
                <w:left w:val="none" w:sz="0" w:space="0" w:color="auto"/>
                <w:bottom w:val="none" w:sz="0" w:space="0" w:color="auto"/>
                <w:right w:val="none" w:sz="0" w:space="0" w:color="auto"/>
              </w:divBdr>
            </w:div>
          </w:divsChild>
        </w:div>
        <w:div w:id="259219538">
          <w:marLeft w:val="-225"/>
          <w:marRight w:val="-225"/>
          <w:marTop w:val="0"/>
          <w:marBottom w:val="300"/>
          <w:divBdr>
            <w:top w:val="none" w:sz="0" w:space="0" w:color="auto"/>
            <w:left w:val="none" w:sz="0" w:space="0" w:color="auto"/>
            <w:bottom w:val="none" w:sz="0" w:space="0" w:color="auto"/>
            <w:right w:val="none" w:sz="0" w:space="0" w:color="auto"/>
          </w:divBdr>
          <w:divsChild>
            <w:div w:id="712314376">
              <w:marLeft w:val="0"/>
              <w:marRight w:val="0"/>
              <w:marTop w:val="0"/>
              <w:marBottom w:val="30"/>
              <w:divBdr>
                <w:top w:val="none" w:sz="0" w:space="0" w:color="auto"/>
                <w:left w:val="none" w:sz="0" w:space="0" w:color="auto"/>
                <w:bottom w:val="none" w:sz="0" w:space="0" w:color="auto"/>
                <w:right w:val="none" w:sz="0" w:space="0" w:color="auto"/>
              </w:divBdr>
            </w:div>
            <w:div w:id="12202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2020-02-28T07:16:00Z</dcterms:created>
  <dcterms:modified xsi:type="dcterms:W3CDTF">2020-02-28T07:16:00Z</dcterms:modified>
</cp:coreProperties>
</file>