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D0" w:rsidRPr="00A443D0" w:rsidRDefault="00A443D0" w:rsidP="00A443D0">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A443D0">
        <w:rPr>
          <w:rFonts w:ascii="Tahoma" w:eastAsia="Times New Roman" w:hAnsi="Tahoma" w:cs="Tahoma"/>
          <w:b/>
          <w:bCs/>
          <w:color w:val="000000"/>
          <w:sz w:val="25"/>
          <w:szCs w:val="25"/>
        </w:rPr>
        <w:t>Thủ tục Cấp giấy</w:t>
      </w:r>
      <w:r w:rsidR="00BC46A5">
        <w:rPr>
          <w:rFonts w:ascii="Tahoma" w:eastAsia="Times New Roman" w:hAnsi="Tahoma" w:cs="Tahoma"/>
          <w:b/>
          <w:bCs/>
          <w:color w:val="000000"/>
          <w:sz w:val="25"/>
          <w:szCs w:val="25"/>
        </w:rPr>
        <w:t xml:space="preserve"> phép sản xuất</w:t>
      </w:r>
      <w:r w:rsidRPr="00A443D0">
        <w:rPr>
          <w:rFonts w:ascii="Tahoma" w:eastAsia="Times New Roman" w:hAnsi="Tahoma" w:cs="Tahoma"/>
          <w:b/>
          <w:bCs/>
          <w:color w:val="000000"/>
          <w:sz w:val="25"/>
          <w:szCs w:val="25"/>
        </w:rPr>
        <w:t xml:space="preserve"> Rượu</w:t>
      </w:r>
      <w:r w:rsidR="00BC46A5">
        <w:rPr>
          <w:rFonts w:ascii="Tahoma" w:eastAsia="Times New Roman" w:hAnsi="Tahoma" w:cs="Tahoma"/>
          <w:b/>
          <w:bCs/>
          <w:color w:val="000000"/>
          <w:sz w:val="25"/>
          <w:szCs w:val="25"/>
        </w:rPr>
        <w:t xml:space="preserve"> thủ công nhằm mục đích kinh doanh</w:t>
      </w:r>
    </w:p>
    <w:bookmarkEnd w:id="0"/>
    <w:tbl>
      <w:tblPr>
        <w:tblW w:w="10505"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305"/>
      </w:tblGrid>
      <w:tr w:rsidR="00A443D0" w:rsidRPr="00A443D0" w:rsidTr="00A443D0">
        <w:trPr>
          <w:gridAfter w:val="1"/>
          <w:wAfter w:w="9305" w:type="dxa"/>
        </w:trPr>
        <w:tc>
          <w:tcPr>
            <w:tcW w:w="0" w:type="auto"/>
            <w:shd w:val="clear" w:color="auto" w:fill="FFFFFF"/>
            <w:vAlign w:val="center"/>
            <w:hideMark/>
          </w:tcPr>
          <w:p w:rsidR="00A443D0" w:rsidRPr="00A443D0" w:rsidRDefault="00A443D0" w:rsidP="00A443D0">
            <w:pPr>
              <w:spacing w:after="0" w:line="240" w:lineRule="auto"/>
              <w:rPr>
                <w:rFonts w:eastAsia="Times New Roman" w:cs="Times New Roman"/>
                <w:sz w:val="24"/>
                <w:szCs w:val="24"/>
              </w:rPr>
            </w:pP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Thẩm quyền giải quyết</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BC46A5" w:rsidP="00A443D0">
            <w:pPr>
              <w:spacing w:after="0" w:line="240" w:lineRule="auto"/>
              <w:rPr>
                <w:rFonts w:eastAsia="Times New Roman" w:cs="Times New Roman"/>
                <w:sz w:val="24"/>
                <w:szCs w:val="24"/>
              </w:rPr>
            </w:pPr>
            <w:r>
              <w:rPr>
                <w:rFonts w:eastAsia="Times New Roman" w:cs="Times New Roman"/>
                <w:sz w:val="24"/>
                <w:szCs w:val="24"/>
              </w:rPr>
              <w:t>Phòng Kinh tế và Hạ tầng huyện</w:t>
            </w:r>
            <w:r w:rsidR="00441D2A">
              <w:rPr>
                <w:rFonts w:eastAsia="Times New Roman" w:cs="Times New Roman"/>
                <w:sz w:val="24"/>
                <w:szCs w:val="24"/>
              </w:rPr>
              <w:t xml:space="preserve"> </w:t>
            </w: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Lĩnh vực</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483A37" w:rsidP="00A443D0">
            <w:pPr>
              <w:spacing w:after="0" w:line="240" w:lineRule="auto"/>
              <w:rPr>
                <w:rFonts w:eastAsia="Times New Roman" w:cs="Times New Roman"/>
                <w:sz w:val="24"/>
                <w:szCs w:val="24"/>
              </w:rPr>
            </w:pPr>
            <w:r>
              <w:rPr>
                <w:rFonts w:eastAsia="Times New Roman" w:cs="Times New Roman"/>
                <w:sz w:val="24"/>
                <w:szCs w:val="24"/>
              </w:rPr>
              <w:t>Lĩnh vực Công Thương</w:t>
            </w: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Cách thức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483A37">
            <w:pPr>
              <w:spacing w:after="0" w:line="240" w:lineRule="auto"/>
              <w:rPr>
                <w:rFonts w:eastAsia="Times New Roman" w:cs="Times New Roman"/>
                <w:sz w:val="24"/>
                <w:szCs w:val="24"/>
              </w:rPr>
            </w:pPr>
            <w:r w:rsidRPr="00A443D0">
              <w:rPr>
                <w:rFonts w:eastAsia="Times New Roman" w:cs="Times New Roman"/>
                <w:sz w:val="24"/>
                <w:szCs w:val="24"/>
              </w:rPr>
              <w:t xml:space="preserve">Trực tiếp tại </w:t>
            </w:r>
            <w:r w:rsidR="00483A37">
              <w:rPr>
                <w:rFonts w:eastAsia="Times New Roman" w:cs="Times New Roman"/>
                <w:sz w:val="24"/>
                <w:szCs w:val="24"/>
              </w:rPr>
              <w:t>Bộ phận tiếp nhận và trả kết quả 1 cửa huyện</w:t>
            </w:r>
            <w:r w:rsidRPr="00A443D0">
              <w:rPr>
                <w:rFonts w:eastAsia="Times New Roman" w:cs="Times New Roman"/>
                <w:sz w:val="24"/>
                <w:szCs w:val="24"/>
              </w:rPr>
              <w:t> </w:t>
            </w: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Trình tự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A37" w:rsidRPr="00483A37" w:rsidRDefault="00483A37" w:rsidP="00483A37">
            <w:pPr>
              <w:shd w:val="clear" w:color="auto" w:fill="F6F6F6"/>
              <w:spacing w:after="0" w:line="257" w:lineRule="atLeast"/>
              <w:jc w:val="both"/>
              <w:rPr>
                <w:color w:val="000000"/>
                <w:sz w:val="24"/>
                <w:szCs w:val="24"/>
              </w:rPr>
            </w:pPr>
            <w:r w:rsidRPr="00483A37">
              <w:rPr>
                <w:color w:val="000000"/>
                <w:sz w:val="24"/>
                <w:szCs w:val="24"/>
                <w:bdr w:val="none" w:sz="0" w:space="0" w:color="auto" w:frame="1"/>
              </w:rPr>
              <w:t>- Bước 1: Công dân nộp hồ sơ tại Bộ phận tiếp nhận và trả kết quả của UBND cấp huyện nơi công dân mở địa điểm kinh doanh;</w:t>
            </w:r>
          </w:p>
          <w:p w:rsidR="00483A37" w:rsidRPr="00483A37" w:rsidRDefault="00483A37" w:rsidP="00483A37">
            <w:pPr>
              <w:shd w:val="clear" w:color="auto" w:fill="F6F6F6"/>
              <w:spacing w:after="0" w:line="257" w:lineRule="atLeast"/>
              <w:jc w:val="both"/>
              <w:rPr>
                <w:color w:val="000000"/>
                <w:sz w:val="24"/>
                <w:szCs w:val="24"/>
                <w:bdr w:val="none" w:sz="0" w:space="0" w:color="auto" w:frame="1"/>
              </w:rPr>
            </w:pPr>
            <w:r w:rsidRPr="00483A37">
              <w:rPr>
                <w:color w:val="000000"/>
                <w:sz w:val="24"/>
                <w:szCs w:val="24"/>
                <w:bdr w:val="none" w:sz="0" w:space="0" w:color="auto" w:frame="1"/>
              </w:rPr>
              <w:t>- Bước 2:  Công chức chuyên môn kiểm tra, tiếp nhận hồ sơ và viết Giấy biên nhận trả kết quả. Trường hợp hồ sơ chưa đầy đủ hoặc chưa hợp lệ thì hướng dẫn cho người nộp hồ sơ hoàn chỉnh.</w:t>
            </w:r>
          </w:p>
          <w:p w:rsidR="00483A37" w:rsidRPr="00483A37" w:rsidRDefault="00483A37" w:rsidP="00483A37">
            <w:pPr>
              <w:shd w:val="clear" w:color="auto" w:fill="F6F6F6"/>
              <w:spacing w:after="0" w:line="257" w:lineRule="atLeast"/>
              <w:jc w:val="both"/>
              <w:rPr>
                <w:color w:val="000000"/>
                <w:sz w:val="24"/>
                <w:szCs w:val="24"/>
              </w:rPr>
            </w:pPr>
            <w:r w:rsidRPr="00483A37">
              <w:rPr>
                <w:color w:val="000000"/>
                <w:sz w:val="24"/>
                <w:szCs w:val="24"/>
                <w:bdr w:val="none" w:sz="0" w:space="0" w:color="auto" w:frame="1"/>
              </w:rPr>
              <w:t>- Bước 3: Lập phiếu đề xuất trình cho Lãnh đạo Phòng ký duyệt;</w:t>
            </w:r>
          </w:p>
          <w:p w:rsidR="00483A37" w:rsidRPr="00483A37" w:rsidRDefault="00483A37" w:rsidP="00483A37">
            <w:pPr>
              <w:spacing w:after="0" w:line="240" w:lineRule="auto"/>
              <w:rPr>
                <w:color w:val="000000"/>
                <w:sz w:val="24"/>
                <w:szCs w:val="24"/>
                <w:bdr w:val="none" w:sz="0" w:space="0" w:color="auto" w:frame="1"/>
                <w:shd w:val="clear" w:color="auto" w:fill="F6F6F6"/>
              </w:rPr>
            </w:pPr>
            <w:r w:rsidRPr="00483A37">
              <w:rPr>
                <w:color w:val="000000"/>
                <w:sz w:val="24"/>
                <w:szCs w:val="24"/>
                <w:bdr w:val="none" w:sz="0" w:space="0" w:color="auto" w:frame="1"/>
                <w:shd w:val="clear" w:color="auto" w:fill="F6F6F6"/>
              </w:rPr>
              <w:t>- Bước 4: Công chức chuyên môn trả hồ sơ cho công dân tại bộ phận tiếp nhận và trả kết quả của UBND cấp huyện.</w:t>
            </w:r>
          </w:p>
          <w:p w:rsidR="00A443D0" w:rsidRPr="00A443D0" w:rsidRDefault="00A443D0" w:rsidP="00483A37">
            <w:pPr>
              <w:spacing w:after="0" w:line="240" w:lineRule="auto"/>
              <w:rPr>
                <w:rFonts w:eastAsia="Times New Roman" w:cs="Times New Roman"/>
                <w:color w:val="737373"/>
                <w:sz w:val="23"/>
                <w:szCs w:val="23"/>
              </w:rPr>
            </w:pPr>
            <w:r w:rsidRPr="00483A37">
              <w:rPr>
                <w:rFonts w:eastAsia="Times New Roman" w:cs="Times New Roman"/>
                <w:color w:val="000000" w:themeColor="text1"/>
                <w:sz w:val="24"/>
                <w:szCs w:val="24"/>
              </w:rPr>
              <w:t>+ Thời gian tiếp nhận hồ sơ và trả kết quả: Từ 7h00 đến 11h00 sáng; từ 13h00 đến 17h00 chiều các ngày làm việc trong tuần (trừ các ngày nghỉ, lễ, tết theo quy định của pháp luật).</w:t>
            </w: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Thành phần hồ sơ</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C46A5" w:rsidRPr="00BC46A5" w:rsidRDefault="00BC46A5" w:rsidP="00BC46A5">
            <w:pPr>
              <w:spacing w:after="0"/>
              <w:jc w:val="both"/>
              <w:rPr>
                <w:sz w:val="24"/>
                <w:szCs w:val="24"/>
                <w:lang w:val="nl-NL"/>
              </w:rPr>
            </w:pPr>
            <w:r w:rsidRPr="00BC46A5">
              <w:rPr>
                <w:sz w:val="24"/>
                <w:szCs w:val="24"/>
                <w:lang w:val="nl-NL"/>
              </w:rPr>
              <w:t>- Thành phần hồ sơ: Theo quy định tại Nghị định số 105/2017/NĐ-CP, ngày 14/9/2017 của Chính phủ về kinh doanh rượu, gồm:</w:t>
            </w:r>
          </w:p>
          <w:p w:rsidR="00BC46A5" w:rsidRPr="00BC46A5" w:rsidRDefault="00BC46A5" w:rsidP="00BC46A5">
            <w:pPr>
              <w:spacing w:after="0"/>
              <w:jc w:val="both"/>
              <w:rPr>
                <w:sz w:val="24"/>
                <w:szCs w:val="24"/>
                <w:lang w:val="nl-NL"/>
              </w:rPr>
            </w:pPr>
            <w:r w:rsidRPr="00BC46A5">
              <w:rPr>
                <w:sz w:val="24"/>
                <w:szCs w:val="24"/>
                <w:lang w:val="nl-NL"/>
              </w:rPr>
              <w:t xml:space="preserve">+ </w:t>
            </w:r>
            <w:r w:rsidRPr="00BC46A5">
              <w:rPr>
                <w:sz w:val="24"/>
                <w:szCs w:val="24"/>
                <w:lang w:val="vi-VN"/>
              </w:rPr>
              <w:t xml:space="preserve">Đơn đề nghị cấp Giấy phép sản xuất rượu thủ công nhằm mục đích kinh doanh </w:t>
            </w:r>
            <w:r w:rsidRPr="00BC46A5">
              <w:rPr>
                <w:sz w:val="24"/>
                <w:szCs w:val="24"/>
                <w:lang w:val="nl-NL"/>
              </w:rPr>
              <w:t>(</w:t>
            </w:r>
            <w:r w:rsidRPr="00BC46A5">
              <w:rPr>
                <w:sz w:val="24"/>
                <w:szCs w:val="24"/>
                <w:lang w:val="vi-VN"/>
              </w:rPr>
              <w:t>theo M</w:t>
            </w:r>
            <w:r w:rsidRPr="00BC46A5">
              <w:rPr>
                <w:sz w:val="24"/>
                <w:szCs w:val="24"/>
                <w:lang w:val="nl-NL"/>
              </w:rPr>
              <w:t>ẫ</w:t>
            </w:r>
            <w:r w:rsidRPr="00BC46A5">
              <w:rPr>
                <w:sz w:val="24"/>
                <w:szCs w:val="24"/>
                <w:lang w:val="vi-VN"/>
              </w:rPr>
              <w:t>u s</w:t>
            </w:r>
            <w:r w:rsidRPr="00BC46A5">
              <w:rPr>
                <w:sz w:val="24"/>
                <w:szCs w:val="24"/>
                <w:lang w:val="nl-NL"/>
              </w:rPr>
              <w:t xml:space="preserve">ố </w:t>
            </w:r>
            <w:r w:rsidRPr="00BC46A5">
              <w:rPr>
                <w:sz w:val="24"/>
                <w:szCs w:val="24"/>
                <w:lang w:val="vi-VN"/>
              </w:rPr>
              <w:t xml:space="preserve">01 ban hành kèm theo Nghị định </w:t>
            </w:r>
            <w:r w:rsidRPr="00BC46A5">
              <w:rPr>
                <w:sz w:val="24"/>
                <w:szCs w:val="24"/>
                <w:lang w:val="nl-NL"/>
              </w:rPr>
              <w:t>105/2017/NĐ-CP, ngày 14/9/2017 của Chính phủ)</w:t>
            </w:r>
            <w:r w:rsidRPr="00BC46A5">
              <w:rPr>
                <w:sz w:val="24"/>
                <w:szCs w:val="24"/>
                <w:lang w:val="vi-VN"/>
              </w:rPr>
              <w:t>.</w:t>
            </w:r>
          </w:p>
          <w:p w:rsidR="00BC46A5" w:rsidRPr="00BC46A5" w:rsidRDefault="00BC46A5" w:rsidP="00BC46A5">
            <w:pPr>
              <w:spacing w:after="0"/>
              <w:jc w:val="both"/>
              <w:rPr>
                <w:sz w:val="24"/>
                <w:szCs w:val="24"/>
                <w:lang w:val="nl-NL"/>
              </w:rPr>
            </w:pPr>
            <w:r w:rsidRPr="00BC46A5">
              <w:rPr>
                <w:sz w:val="24"/>
                <w:szCs w:val="24"/>
                <w:lang w:val="nl-NL"/>
              </w:rPr>
              <w:t xml:space="preserve">+ </w:t>
            </w:r>
            <w:r w:rsidRPr="00BC46A5">
              <w:rPr>
                <w:sz w:val="24"/>
                <w:szCs w:val="24"/>
                <w:lang w:val="vi-VN"/>
              </w:rPr>
              <w:t>Bản sao Giấy chứng nhận đăng ký doanh nghiệp, hợp tác xã, liên hiệp hợp tác xã hoặc hộ kinh doanh.</w:t>
            </w:r>
          </w:p>
          <w:p w:rsidR="00BC46A5" w:rsidRPr="00BC46A5" w:rsidRDefault="00BC46A5" w:rsidP="00BC46A5">
            <w:pPr>
              <w:spacing w:after="0"/>
              <w:jc w:val="both"/>
              <w:rPr>
                <w:sz w:val="24"/>
                <w:szCs w:val="24"/>
                <w:lang w:val="nl-NL"/>
              </w:rPr>
            </w:pPr>
            <w:r w:rsidRPr="00BC46A5">
              <w:rPr>
                <w:sz w:val="24"/>
                <w:szCs w:val="24"/>
                <w:lang w:val="nl-NL"/>
              </w:rPr>
              <w:t xml:space="preserve">+ </w:t>
            </w:r>
            <w:r w:rsidRPr="00BC46A5">
              <w:rPr>
                <w:sz w:val="24"/>
                <w:szCs w:val="24"/>
                <w:lang w:val="vi-VN"/>
              </w:rPr>
              <w:t>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w:t>
            </w:r>
            <w:r w:rsidRPr="00BC46A5">
              <w:rPr>
                <w:sz w:val="24"/>
                <w:szCs w:val="24"/>
                <w:lang w:val="nl-NL"/>
              </w:rPr>
              <w:t>.</w:t>
            </w:r>
          </w:p>
          <w:p w:rsidR="00BC46A5" w:rsidRPr="00BC46A5" w:rsidRDefault="00BC46A5" w:rsidP="00BC46A5">
            <w:pPr>
              <w:spacing w:after="0"/>
              <w:jc w:val="both"/>
              <w:rPr>
                <w:sz w:val="24"/>
                <w:szCs w:val="24"/>
              </w:rPr>
            </w:pPr>
            <w:r w:rsidRPr="00BC46A5">
              <w:rPr>
                <w:sz w:val="24"/>
                <w:szCs w:val="24"/>
                <w:lang w:val="nl-NL"/>
              </w:rPr>
              <w:t xml:space="preserve">+ </w:t>
            </w:r>
            <w:r w:rsidRPr="00BC46A5">
              <w:rPr>
                <w:sz w:val="24"/>
                <w:szCs w:val="24"/>
                <w:lang w:val="vi-VN"/>
              </w:rPr>
              <w:t>Bản liệt kê tên hàng hóa rượu kèm theo bản sao nhãn hàng hóa rượu mà tổ chức, cá nhân sản xuất hoặc dự kiến sản xuất.</w:t>
            </w:r>
          </w:p>
          <w:p w:rsidR="00BC46A5" w:rsidRDefault="00BC46A5" w:rsidP="00483A37">
            <w:pPr>
              <w:spacing w:after="0" w:line="262" w:lineRule="auto"/>
              <w:jc w:val="both"/>
              <w:rPr>
                <w:rFonts w:eastAsia="Times New Roman" w:cs="Times New Roman"/>
                <w:sz w:val="24"/>
                <w:szCs w:val="24"/>
              </w:rPr>
            </w:pPr>
          </w:p>
          <w:p w:rsidR="00A443D0" w:rsidRPr="00483A37" w:rsidRDefault="00483A37" w:rsidP="00483A37">
            <w:pPr>
              <w:spacing w:after="0" w:line="262" w:lineRule="auto"/>
              <w:jc w:val="both"/>
              <w:rPr>
                <w:szCs w:val="28"/>
              </w:rPr>
            </w:pPr>
            <w:r>
              <w:rPr>
                <w:rFonts w:eastAsia="Times New Roman" w:cs="Times New Roman"/>
                <w:sz w:val="24"/>
                <w:szCs w:val="24"/>
              </w:rPr>
              <w:t xml:space="preserve">* Số lượng hồ sơ:  01 bộ </w:t>
            </w: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Thời hạn giải quyết</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483A37" w:rsidP="00A443D0">
            <w:pPr>
              <w:spacing w:after="0" w:line="240" w:lineRule="auto"/>
              <w:rPr>
                <w:rFonts w:eastAsia="Times New Roman" w:cs="Times New Roman"/>
                <w:sz w:val="24"/>
                <w:szCs w:val="24"/>
              </w:rPr>
            </w:pPr>
            <w:r>
              <w:rPr>
                <w:rFonts w:eastAsia="Times New Roman" w:cs="Times New Roman"/>
                <w:sz w:val="24"/>
                <w:szCs w:val="24"/>
              </w:rPr>
              <w:t>Trong thời hạn 10</w:t>
            </w:r>
            <w:r w:rsidR="00A443D0" w:rsidRPr="00A443D0">
              <w:rPr>
                <w:rFonts w:eastAsia="Times New Roman" w:cs="Times New Roman"/>
                <w:sz w:val="24"/>
                <w:szCs w:val="24"/>
              </w:rPr>
              <w:t xml:space="preserve"> ngày kể từ khi nhận được hồ sơ đầy đủ và hợp lệ.</w:t>
            </w:r>
          </w:p>
        </w:tc>
      </w:tr>
      <w:tr w:rsidR="00F04C6C"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04C6C" w:rsidRPr="00A443D0" w:rsidRDefault="00F04C6C" w:rsidP="00A443D0">
            <w:pPr>
              <w:spacing w:after="0" w:line="240" w:lineRule="auto"/>
              <w:rPr>
                <w:rFonts w:eastAsia="Times New Roman" w:cs="Times New Roman"/>
                <w:sz w:val="24"/>
                <w:szCs w:val="24"/>
              </w:rPr>
            </w:pPr>
            <w:r w:rsidRPr="00A443D0">
              <w:rPr>
                <w:rFonts w:eastAsia="Times New Roman" w:cs="Times New Roman"/>
                <w:sz w:val="24"/>
                <w:szCs w:val="24"/>
              </w:rPr>
              <w:t>Lệ phí</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04C6C" w:rsidRPr="00F04C6C" w:rsidRDefault="00BC46A5" w:rsidP="00F33CBF">
            <w:pPr>
              <w:spacing w:before="120"/>
              <w:rPr>
                <w:sz w:val="24"/>
                <w:szCs w:val="24"/>
              </w:rPr>
            </w:pPr>
            <w:r>
              <w:rPr>
                <w:color w:val="000000"/>
                <w:sz w:val="24"/>
                <w:szCs w:val="24"/>
                <w:lang w:eastAsia="vi-VN"/>
              </w:rPr>
              <w:t>1.1</w:t>
            </w:r>
            <w:r w:rsidR="00F04C6C" w:rsidRPr="00F04C6C">
              <w:rPr>
                <w:color w:val="000000"/>
                <w:sz w:val="24"/>
                <w:szCs w:val="24"/>
                <w:lang w:eastAsia="vi-VN"/>
              </w:rPr>
              <w:t>00.000 đồng/điểm kinh doanh/lần thẩm định.</w:t>
            </w:r>
          </w:p>
        </w:tc>
      </w:tr>
      <w:tr w:rsidR="00F04C6C"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04C6C" w:rsidRPr="00A443D0" w:rsidRDefault="00F04C6C" w:rsidP="00A443D0">
            <w:pPr>
              <w:spacing w:after="0" w:line="240" w:lineRule="auto"/>
              <w:rPr>
                <w:rFonts w:eastAsia="Times New Roman" w:cs="Times New Roman"/>
                <w:sz w:val="24"/>
                <w:szCs w:val="24"/>
              </w:rPr>
            </w:pPr>
            <w:r w:rsidRPr="00A443D0">
              <w:rPr>
                <w:rFonts w:eastAsia="Times New Roman" w:cs="Times New Roman"/>
                <w:sz w:val="24"/>
                <w:szCs w:val="24"/>
              </w:rPr>
              <w:t>Kết quả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04C6C" w:rsidRPr="00A443D0" w:rsidRDefault="00BC46A5" w:rsidP="00A443D0">
            <w:pPr>
              <w:spacing w:before="100" w:beforeAutospacing="1" w:after="100" w:afterAutospacing="1" w:line="240" w:lineRule="auto"/>
              <w:rPr>
                <w:rFonts w:eastAsia="Times New Roman" w:cs="Times New Roman"/>
                <w:color w:val="737373"/>
                <w:sz w:val="23"/>
                <w:szCs w:val="23"/>
              </w:rPr>
            </w:pPr>
            <w:r>
              <w:rPr>
                <w:rFonts w:eastAsia="Times New Roman" w:cs="Times New Roman"/>
                <w:color w:val="000000" w:themeColor="text1"/>
                <w:sz w:val="23"/>
                <w:szCs w:val="23"/>
              </w:rPr>
              <w:t xml:space="preserve">Giấy phép sản xuất </w:t>
            </w:r>
            <w:r w:rsidR="00BB5325">
              <w:rPr>
                <w:rFonts w:eastAsia="Times New Roman" w:cs="Times New Roman"/>
                <w:color w:val="000000" w:themeColor="text1"/>
                <w:sz w:val="23"/>
                <w:szCs w:val="23"/>
              </w:rPr>
              <w:t>rượu</w:t>
            </w:r>
            <w:r>
              <w:rPr>
                <w:rFonts w:eastAsia="Times New Roman" w:cs="Times New Roman"/>
                <w:color w:val="000000" w:themeColor="text1"/>
                <w:sz w:val="23"/>
                <w:szCs w:val="23"/>
              </w:rPr>
              <w:t xml:space="preserve"> thủ công nhằm mục đích kinh doanh</w:t>
            </w:r>
          </w:p>
        </w:tc>
      </w:tr>
      <w:tr w:rsidR="00F04C6C"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04C6C" w:rsidRPr="00A443D0" w:rsidRDefault="00F04C6C" w:rsidP="00A443D0">
            <w:pPr>
              <w:spacing w:after="0" w:line="240" w:lineRule="auto"/>
              <w:rPr>
                <w:rFonts w:eastAsia="Times New Roman" w:cs="Times New Roman"/>
                <w:sz w:val="24"/>
                <w:szCs w:val="24"/>
              </w:rPr>
            </w:pPr>
            <w:r w:rsidRPr="00A443D0">
              <w:rPr>
                <w:rFonts w:eastAsia="Times New Roman" w:cs="Times New Roman"/>
                <w:sz w:val="24"/>
                <w:szCs w:val="24"/>
              </w:rPr>
              <w:t>Cơ quan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04C6C" w:rsidRPr="00A443D0" w:rsidRDefault="00BB5325" w:rsidP="00A443D0">
            <w:pPr>
              <w:spacing w:after="0" w:line="240" w:lineRule="auto"/>
              <w:rPr>
                <w:rFonts w:eastAsia="Times New Roman" w:cs="Times New Roman"/>
                <w:sz w:val="24"/>
                <w:szCs w:val="24"/>
              </w:rPr>
            </w:pPr>
            <w:r>
              <w:rPr>
                <w:rFonts w:eastAsia="Times New Roman" w:cs="Times New Roman"/>
                <w:sz w:val="24"/>
                <w:szCs w:val="24"/>
              </w:rPr>
              <w:t>Phòng Kinh tế và Hạ tầng huyện</w:t>
            </w:r>
          </w:p>
        </w:tc>
      </w:tr>
      <w:tr w:rsidR="00F04C6C"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04C6C" w:rsidRPr="00A443D0" w:rsidRDefault="00F04C6C" w:rsidP="00A443D0">
            <w:pPr>
              <w:spacing w:after="0" w:line="240" w:lineRule="auto"/>
              <w:rPr>
                <w:rFonts w:eastAsia="Times New Roman" w:cs="Times New Roman"/>
                <w:sz w:val="24"/>
                <w:szCs w:val="24"/>
              </w:rPr>
            </w:pPr>
            <w:r w:rsidRPr="00A443D0">
              <w:rPr>
                <w:rFonts w:eastAsia="Times New Roman" w:cs="Times New Roman"/>
                <w:sz w:val="24"/>
                <w:szCs w:val="24"/>
              </w:rPr>
              <w:t xml:space="preserve">Đối tượng </w:t>
            </w:r>
            <w:r w:rsidRPr="00A443D0">
              <w:rPr>
                <w:rFonts w:eastAsia="Times New Roman" w:cs="Times New Roman"/>
                <w:sz w:val="24"/>
                <w:szCs w:val="24"/>
              </w:rPr>
              <w:lastRenderedPageBreak/>
              <w:t>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04C6C" w:rsidRPr="00A443D0" w:rsidRDefault="00F04C6C" w:rsidP="00A443D0">
            <w:pPr>
              <w:spacing w:after="0" w:line="240" w:lineRule="auto"/>
              <w:rPr>
                <w:rFonts w:eastAsia="Times New Roman" w:cs="Times New Roman"/>
                <w:sz w:val="24"/>
                <w:szCs w:val="24"/>
              </w:rPr>
            </w:pPr>
            <w:r w:rsidRPr="00A443D0">
              <w:rPr>
                <w:rFonts w:eastAsia="Times New Roman" w:cs="Times New Roman"/>
                <w:sz w:val="24"/>
                <w:szCs w:val="24"/>
              </w:rPr>
              <w:lastRenderedPageBreak/>
              <w:t>Tổ chức, cá nhân.</w:t>
            </w:r>
          </w:p>
        </w:tc>
      </w:tr>
      <w:tr w:rsidR="00F04C6C"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04C6C" w:rsidRPr="00A443D0" w:rsidRDefault="00F04C6C" w:rsidP="00A443D0">
            <w:pPr>
              <w:spacing w:after="0" w:line="240" w:lineRule="auto"/>
              <w:rPr>
                <w:rFonts w:eastAsia="Times New Roman" w:cs="Times New Roman"/>
                <w:sz w:val="24"/>
                <w:szCs w:val="24"/>
              </w:rPr>
            </w:pPr>
            <w:r w:rsidRPr="00A443D0">
              <w:rPr>
                <w:rFonts w:eastAsia="Times New Roman" w:cs="Times New Roman"/>
                <w:sz w:val="24"/>
                <w:szCs w:val="24"/>
              </w:rPr>
              <w:lastRenderedPageBreak/>
              <w:t>Yêu cầu hoặc điều kiện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04C6C" w:rsidRPr="00BC46A5" w:rsidRDefault="00BC46A5" w:rsidP="00F04C6C">
            <w:pPr>
              <w:spacing w:after="0" w:line="240" w:lineRule="auto"/>
              <w:rPr>
                <w:rFonts w:eastAsia="Times New Roman" w:cs="Times New Roman"/>
                <w:sz w:val="24"/>
                <w:szCs w:val="24"/>
              </w:rPr>
            </w:pPr>
            <w:r w:rsidRPr="00BC46A5">
              <w:rPr>
                <w:rFonts w:cs="Times New Roman"/>
                <w:color w:val="000000"/>
                <w:sz w:val="24"/>
                <w:szCs w:val="24"/>
                <w:shd w:val="clear" w:color="auto" w:fill="E2E4FF"/>
              </w:rPr>
              <w:t>+ Là doanh nghiệp, hợp tác xã, liên hiệp hợp tác xã hoặc hộ kinh doanh được thành lập theo quy định của pháp luật.</w:t>
            </w:r>
            <w:r w:rsidRPr="00BC46A5">
              <w:rPr>
                <w:rFonts w:cs="Times New Roman"/>
                <w:color w:val="000000"/>
                <w:sz w:val="24"/>
                <w:szCs w:val="24"/>
              </w:rPr>
              <w:br/>
            </w:r>
            <w:r w:rsidRPr="00BC46A5">
              <w:rPr>
                <w:rFonts w:cs="Times New Roman"/>
                <w:color w:val="000000"/>
                <w:sz w:val="24"/>
                <w:szCs w:val="24"/>
                <w:shd w:val="clear" w:color="auto" w:fill="E2E4FF"/>
              </w:rPr>
              <w:t>+ Bảo đảm các điều kiện về an toàn thực phẩm và ghi nhãn hàng hóa rượu theo quy định.</w:t>
            </w:r>
          </w:p>
        </w:tc>
      </w:tr>
      <w:tr w:rsidR="00F04C6C"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04C6C" w:rsidRPr="00A443D0" w:rsidRDefault="00F04C6C" w:rsidP="00A443D0">
            <w:pPr>
              <w:spacing w:after="0" w:line="240" w:lineRule="auto"/>
              <w:rPr>
                <w:rFonts w:eastAsia="Times New Roman" w:cs="Times New Roman"/>
                <w:sz w:val="24"/>
                <w:szCs w:val="24"/>
              </w:rPr>
            </w:pPr>
            <w:r w:rsidRPr="00A443D0">
              <w:rPr>
                <w:rFonts w:eastAsia="Times New Roman" w:cs="Times New Roman"/>
                <w:sz w:val="24"/>
                <w:szCs w:val="24"/>
              </w:rPr>
              <w:t>Căn cứ pháp lý</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04C6C" w:rsidRPr="00F04C6C" w:rsidRDefault="00F04C6C" w:rsidP="00F04C6C">
            <w:pPr>
              <w:spacing w:after="0"/>
              <w:rPr>
                <w:sz w:val="24"/>
                <w:szCs w:val="24"/>
              </w:rPr>
            </w:pPr>
            <w:r w:rsidRPr="00F04C6C">
              <w:rPr>
                <w:sz w:val="24"/>
                <w:szCs w:val="24"/>
              </w:rPr>
              <w:t>- Nghị định số 105/2017/NĐ-CP, ngày 14/9/2017của Chính phủ.</w:t>
            </w:r>
          </w:p>
          <w:p w:rsidR="00F04C6C" w:rsidRPr="00BC46A5" w:rsidRDefault="00BC46A5" w:rsidP="00BC46A5">
            <w:pPr>
              <w:spacing w:after="0"/>
              <w:rPr>
                <w:color w:val="000000"/>
                <w:sz w:val="24"/>
                <w:szCs w:val="24"/>
                <w:lang w:eastAsia="vi-VN"/>
              </w:rPr>
            </w:pPr>
            <w:r w:rsidRPr="00BC46A5">
              <w:rPr>
                <w:color w:val="000000"/>
                <w:sz w:val="24"/>
                <w:szCs w:val="24"/>
                <w:lang w:eastAsia="vi-VN"/>
              </w:rPr>
              <w:t>- Thông tư 299/2016/TT-BTC, ngày 15/11/2016 của Bộ Tài chính.</w:t>
            </w:r>
          </w:p>
        </w:tc>
      </w:tr>
    </w:tbl>
    <w:p w:rsidR="003E268A" w:rsidRDefault="003E268A" w:rsidP="00F04C6C"/>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D0"/>
    <w:rsid w:val="003E268A"/>
    <w:rsid w:val="0042430B"/>
    <w:rsid w:val="00441D2A"/>
    <w:rsid w:val="00483A37"/>
    <w:rsid w:val="00A443D0"/>
    <w:rsid w:val="00BB5325"/>
    <w:rsid w:val="00BC46A5"/>
    <w:rsid w:val="00F0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43D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3D0"/>
    <w:rPr>
      <w:rFonts w:eastAsia="Times New Roman" w:cs="Times New Roman"/>
      <w:b/>
      <w:bCs/>
      <w:sz w:val="27"/>
      <w:szCs w:val="27"/>
    </w:rPr>
  </w:style>
  <w:style w:type="paragraph" w:styleId="NormalWeb">
    <w:name w:val="Normal (Web)"/>
    <w:basedOn w:val="Normal"/>
    <w:uiPriority w:val="99"/>
    <w:unhideWhenUsed/>
    <w:rsid w:val="00A443D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443D0"/>
    <w:rPr>
      <w:b/>
      <w:bCs/>
    </w:rPr>
  </w:style>
  <w:style w:type="character" w:styleId="Emphasis">
    <w:name w:val="Emphasis"/>
    <w:basedOn w:val="DefaultParagraphFont"/>
    <w:uiPriority w:val="20"/>
    <w:qFormat/>
    <w:rsid w:val="00A443D0"/>
    <w:rPr>
      <w:i/>
      <w:iCs/>
    </w:rPr>
  </w:style>
  <w:style w:type="character" w:styleId="Hyperlink">
    <w:name w:val="Hyperlink"/>
    <w:basedOn w:val="DefaultParagraphFont"/>
    <w:uiPriority w:val="99"/>
    <w:semiHidden/>
    <w:unhideWhenUsed/>
    <w:rsid w:val="00A443D0"/>
    <w:rPr>
      <w:color w:val="0000FF"/>
      <w:u w:val="single"/>
    </w:rPr>
  </w:style>
  <w:style w:type="paragraph" w:styleId="ListParagraph">
    <w:name w:val="List Paragraph"/>
    <w:basedOn w:val="Normal"/>
    <w:uiPriority w:val="34"/>
    <w:qFormat/>
    <w:rsid w:val="00483A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43D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3D0"/>
    <w:rPr>
      <w:rFonts w:eastAsia="Times New Roman" w:cs="Times New Roman"/>
      <w:b/>
      <w:bCs/>
      <w:sz w:val="27"/>
      <w:szCs w:val="27"/>
    </w:rPr>
  </w:style>
  <w:style w:type="paragraph" w:styleId="NormalWeb">
    <w:name w:val="Normal (Web)"/>
    <w:basedOn w:val="Normal"/>
    <w:uiPriority w:val="99"/>
    <w:unhideWhenUsed/>
    <w:rsid w:val="00A443D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443D0"/>
    <w:rPr>
      <w:b/>
      <w:bCs/>
    </w:rPr>
  </w:style>
  <w:style w:type="character" w:styleId="Emphasis">
    <w:name w:val="Emphasis"/>
    <w:basedOn w:val="DefaultParagraphFont"/>
    <w:uiPriority w:val="20"/>
    <w:qFormat/>
    <w:rsid w:val="00A443D0"/>
    <w:rPr>
      <w:i/>
      <w:iCs/>
    </w:rPr>
  </w:style>
  <w:style w:type="character" w:styleId="Hyperlink">
    <w:name w:val="Hyperlink"/>
    <w:basedOn w:val="DefaultParagraphFont"/>
    <w:uiPriority w:val="99"/>
    <w:semiHidden/>
    <w:unhideWhenUsed/>
    <w:rsid w:val="00A443D0"/>
    <w:rPr>
      <w:color w:val="0000FF"/>
      <w:u w:val="single"/>
    </w:rPr>
  </w:style>
  <w:style w:type="paragraph" w:styleId="ListParagraph">
    <w:name w:val="List Paragraph"/>
    <w:basedOn w:val="Normal"/>
    <w:uiPriority w:val="34"/>
    <w:qFormat/>
    <w:rsid w:val="00483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7586">
      <w:bodyDiv w:val="1"/>
      <w:marLeft w:val="0"/>
      <w:marRight w:val="0"/>
      <w:marTop w:val="0"/>
      <w:marBottom w:val="0"/>
      <w:divBdr>
        <w:top w:val="none" w:sz="0" w:space="0" w:color="auto"/>
        <w:left w:val="none" w:sz="0" w:space="0" w:color="auto"/>
        <w:bottom w:val="none" w:sz="0" w:space="0" w:color="auto"/>
        <w:right w:val="none" w:sz="0" w:space="0" w:color="auto"/>
      </w:divBdr>
      <w:divsChild>
        <w:div w:id="345906767">
          <w:marLeft w:val="0"/>
          <w:marRight w:val="0"/>
          <w:marTop w:val="0"/>
          <w:marBottom w:val="0"/>
          <w:divBdr>
            <w:top w:val="none" w:sz="0" w:space="0" w:color="auto"/>
            <w:left w:val="none" w:sz="0" w:space="0" w:color="auto"/>
            <w:bottom w:val="none" w:sz="0" w:space="0" w:color="auto"/>
            <w:right w:val="none" w:sz="0" w:space="0" w:color="auto"/>
          </w:divBdr>
          <w:divsChild>
            <w:div w:id="20177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2020-03-05T09:54:00Z</dcterms:created>
  <dcterms:modified xsi:type="dcterms:W3CDTF">2020-03-05T09:54:00Z</dcterms:modified>
</cp:coreProperties>
</file>