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1E" w:rsidRPr="0079641E" w:rsidRDefault="0079641E" w:rsidP="0079641E">
      <w:pPr>
        <w:shd w:val="clear" w:color="auto" w:fill="EEEEEE"/>
        <w:spacing w:before="195" w:after="0" w:line="300" w:lineRule="atLeast"/>
        <w:jc w:val="both"/>
        <w:outlineLvl w:val="1"/>
        <w:rPr>
          <w:rFonts w:eastAsia="Times New Roman" w:cs="Times New Roman"/>
          <w:color w:val="333333"/>
          <w:sz w:val="24"/>
          <w:szCs w:val="24"/>
        </w:rPr>
      </w:pPr>
      <w:bookmarkStart w:id="0" w:name="_GoBack"/>
      <w:r w:rsidRPr="0079641E">
        <w:rPr>
          <w:rFonts w:eastAsia="Times New Roman" w:cs="Times New Roman"/>
          <w:color w:val="333333"/>
          <w:sz w:val="24"/>
          <w:szCs w:val="24"/>
        </w:rPr>
        <w:t>Thủ tục thành lập thôn mới, tổ dân phố mới</w:t>
      </w:r>
    </w:p>
    <w:bookmarkEnd w:id="0"/>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Thẩm quyền giải quyết:</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color w:val="333333"/>
          <w:sz w:val="24"/>
          <w:szCs w:val="24"/>
        </w:rPr>
        <w:t>Sở Nội vụ</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Lĩnh vực:</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color w:val="333333"/>
          <w:sz w:val="24"/>
          <w:szCs w:val="24"/>
        </w:rPr>
        <w:t>Lĩnh vực chính quyền địa phương</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Lĩnh vực thống kê:</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color w:val="333333"/>
          <w:sz w:val="24"/>
          <w:szCs w:val="24"/>
        </w:rPr>
        <w:t>Lĩnh vực chính quyền địa phương</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Cách thức thực hiện:</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rPr>
        <w:t>​</w:t>
      </w:r>
      <w:r w:rsidRPr="0079641E">
        <w:rPr>
          <w:rFonts w:eastAsia="Times New Roman" w:cs="Times New Roman"/>
          <w:color w:val="333333"/>
          <w:sz w:val="24"/>
          <w:szCs w:val="24"/>
          <w:bdr w:val="none" w:sz="0" w:space="0" w:color="auto" w:frame="1"/>
        </w:rPr>
        <w:t>- Ủy ban nhân dân cấp xã nộp hồ sơ (trực tiếp hoặc qua đường bưu điện) lên Ủy ban nhân dân cấp huyện (qua phòng Nội vụ)</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 Ủy ban nhân dân cấp huyện nộp hồ sơ (trực tiếp hoặc qua đường bưu điện) lên Ủy ban nhân dân tỉnh (qua Sở Nội vụ - 03 Hai Bà Trưng, TP.Pleiku, Tỉnh Gia Lai).</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Trình tự thực hiện:</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rPr>
        <w:t>​</w:t>
      </w:r>
      <w:r w:rsidRPr="0079641E">
        <w:rPr>
          <w:rFonts w:eastAsia="Times New Roman" w:cs="Times New Roman"/>
          <w:b/>
          <w:bCs/>
          <w:color w:val="333333"/>
          <w:sz w:val="24"/>
          <w:szCs w:val="24"/>
          <w:bdr w:val="none" w:sz="0" w:space="0" w:color="auto" w:frame="1"/>
        </w:rPr>
        <w:t>Bước 1.</w:t>
      </w:r>
      <w:r w:rsidRPr="0079641E">
        <w:rPr>
          <w:rFonts w:eastAsia="Times New Roman" w:cs="Times New Roman"/>
          <w:color w:val="333333"/>
          <w:sz w:val="24"/>
          <w:szCs w:val="24"/>
          <w:bdr w:val="none" w:sz="0" w:space="0" w:color="auto" w:frame="1"/>
        </w:rPr>
        <w:t> Ủy ban nhân dân cấp huyện xin chủ trương Ủy ban nhân dân tỉnh.</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Bước 2.</w:t>
      </w:r>
      <w:r w:rsidRPr="0079641E">
        <w:rPr>
          <w:rFonts w:eastAsia="Times New Roman" w:cs="Times New Roman"/>
          <w:color w:val="333333"/>
          <w:sz w:val="24"/>
          <w:szCs w:val="24"/>
          <w:bdr w:val="none" w:sz="0" w:space="0" w:color="auto" w:frame="1"/>
        </w:rPr>
        <w:t> Sau khi có chủ trương của Ủy ban nhân dân tỉnh, Ủy ban nhân dân cấp huyện hướng dẫn Ủy ban nhân dân cấp xã xây dựng Đề án thành lập thôn, tổ dân phố mới.</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  Bước 3.</w:t>
      </w:r>
      <w:r w:rsidRPr="0079641E">
        <w:rPr>
          <w:rFonts w:eastAsia="Times New Roman" w:cs="Times New Roman"/>
          <w:color w:val="333333"/>
          <w:sz w:val="24"/>
          <w:szCs w:val="24"/>
          <w:bdr w:val="none" w:sz="0" w:space="0" w:color="auto" w:frame="1"/>
        </w:rPr>
        <w:t> Ủy ban nhân dân cấp xã tổ chức lấy ý kiến của toàn thể cử tri hoặc cử tri đại diện hộ gia đình trong khu vực thành lập thôn, tổ dân phố về Đề án thành lập thôn, tổ dân phố mới; tổng hợp các ý kiến và lập thành biên bản.</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Bước 4.</w:t>
      </w:r>
      <w:r w:rsidRPr="0079641E">
        <w:rPr>
          <w:rFonts w:eastAsia="Times New Roman" w:cs="Times New Roman"/>
          <w:color w:val="333333"/>
          <w:sz w:val="24"/>
          <w:szCs w:val="24"/>
          <w:bdr w:val="none" w:sz="0" w:space="0" w:color="auto" w:frame="1"/>
        </w:rPr>
        <w:t> Nếu được quá nửa tổng số (trên 50%) cử tri hoặc cử tri đại diện hộ gia đình tán thành về Đề án thành lập thôn, tổ dân phố mới thì Ủy ban nhân dân cấp xã hoàn chỉnh hồ sơ (kèm theo biên bản tổng hợp và biên bản chi tiết lấy ý kiến của cử tri) trình Hội đồng nhân dân cấp xã. HĐND cấp xã thông qua Đề án thành lập thôn, tổ dân phố mới.</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Bước 5.</w:t>
      </w:r>
      <w:r w:rsidRPr="0079641E">
        <w:rPr>
          <w:rFonts w:eastAsia="Times New Roman" w:cs="Times New Roman"/>
          <w:color w:val="333333"/>
          <w:sz w:val="24"/>
          <w:szCs w:val="24"/>
          <w:bdr w:val="none" w:sz="0" w:space="0" w:color="auto" w:frame="1"/>
        </w:rPr>
        <w:t> Sau khi có Nghị quyết của HĐND cấp xã, Ủy ban nhân dân cấp xã hoàn chỉnh hồ sơ, trình Ủy ban nhân dân cấp huyện.</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Bước 6.</w:t>
      </w:r>
      <w:r w:rsidRPr="0079641E">
        <w:rPr>
          <w:rFonts w:eastAsia="Times New Roman" w:cs="Times New Roman"/>
          <w:color w:val="333333"/>
          <w:sz w:val="24"/>
          <w:szCs w:val="24"/>
          <w:bdr w:val="none" w:sz="0" w:space="0" w:color="auto" w:frame="1"/>
        </w:rPr>
        <w:t> Ủy ban nhân dân cấp huyện có Tờ trình (kèm hồ sơ thành lập thôn, tổ dân phố mới của Ủy ban nhân dân cấp xã) gửi Sở Nội vụ thẩm định.</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Bước 7.</w:t>
      </w:r>
      <w:r w:rsidRPr="0079641E">
        <w:rPr>
          <w:rFonts w:eastAsia="Times New Roman" w:cs="Times New Roman"/>
          <w:color w:val="333333"/>
          <w:sz w:val="24"/>
          <w:szCs w:val="24"/>
          <w:bdr w:val="none" w:sz="0" w:space="0" w:color="auto" w:frame="1"/>
        </w:rPr>
        <w:t> Sở Nội vụ thẩm định hồ sơ đề nghị thành lập thôn, tổ dân phố và báo cáo Ủy ban nhân dân tỉnh.</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Bước 8.</w:t>
      </w:r>
      <w:r w:rsidRPr="0079641E">
        <w:rPr>
          <w:rFonts w:eastAsia="Times New Roman" w:cs="Times New Roman"/>
          <w:color w:val="333333"/>
          <w:sz w:val="24"/>
          <w:szCs w:val="24"/>
          <w:bdr w:val="none" w:sz="0" w:space="0" w:color="auto" w:frame="1"/>
        </w:rPr>
        <w:t> Căn cứ vào hồ sơ trình của Ủy ban nhân dân cấp huyện và kết quả thẩm định của Sở Nội vụ, Ủy ban nhân dân tỉnh trình Hội đồng nhân dân tỉnh xem xét ban hành Nghị quyết thành lập thôn, tổ dân phố mới. Sau khi có Nghị quyết của Hội đồng nhân dân tỉnh, Chủ tịch Ủy ban nhân dân tỉnh ban hành Quyết định thành lập thôn, tổ dân phố mới theo đúng quy định.​</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Thành phần hồ sơ:</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Thời hạn giải quyết:</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bookmarkStart w:id="1" w:name="bookmark1"/>
      <w:r w:rsidRPr="0079641E">
        <w:rPr>
          <w:rFonts w:eastAsia="Times New Roman" w:cs="Times New Roman"/>
          <w:color w:val="337AB7"/>
          <w:sz w:val="24"/>
          <w:szCs w:val="24"/>
          <w:bdr w:val="none" w:sz="0" w:space="0" w:color="auto" w:frame="1"/>
        </w:rPr>
        <w:t>- Trong thời hạn 10 ngày làm việc, kể từ ngày có Nghị quyết của Hội đồng nhân dân cấp xã, Ủy ban nhân dân cấp xã hoàn chỉnh hồ sơ, trình Ủy ban nhân dân cấp huyện.</w:t>
      </w:r>
      <w:bookmarkEnd w:id="1"/>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 - Trong thời hạn 15 ngày làm việc kể từ ngày nhận đủ hồ sơ hợp lệ do Ủy ban nhân dân cấp xã chuyển đến, Ủy ban nhân dân cấp huyện có Tờ trình (kèm hồ sơ thành lập thôn, tổ dân phố mới của Ủy ban nhân dân cấp xã) gửi Sở Nội vụ để thẩm định trình Ủy ban nhân dân tỉnh.</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 - Trong thời hạn 15 ngày, kể từ ngày nhận được Tờ trình và đầy đủ hồ sơ hợp lệ của Ủy ban nhân dân cấp huyện, Sở Nội vụ có ý kiến thẩm định bằng văn bản.</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 - Sau khi nhận được hồ sơ trình của UBND cấp huyện và kết quả thẩm định của Sở Nội vụ, Ủy ban nhân dân tỉnh xem xét, trình Hội đồng nhân dân tỉnh thông qua Nghị quyết thành lập thôn, tổ dân phố mới trong phiên họp gần nhất.​</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Mẫu đơn, mẫu tờ khai:</w:t>
      </w:r>
    </w:p>
    <w:p w:rsidR="0079641E" w:rsidRPr="0079641E" w:rsidRDefault="0079641E" w:rsidP="0079641E">
      <w:pPr>
        <w:shd w:val="clear" w:color="auto" w:fill="FFFFFF"/>
        <w:spacing w:after="75" w:line="270" w:lineRule="atLeast"/>
        <w:jc w:val="both"/>
        <w:rPr>
          <w:rFonts w:eastAsia="Times New Roman" w:cs="Times New Roman"/>
          <w:color w:val="333333"/>
          <w:sz w:val="24"/>
          <w:szCs w:val="24"/>
        </w:rPr>
      </w:pPr>
      <w:r w:rsidRPr="0079641E">
        <w:rPr>
          <w:rFonts w:eastAsia="Times New Roman" w:cs="Times New Roman"/>
          <w:color w:val="333333"/>
          <w:sz w:val="24"/>
          <w:szCs w:val="24"/>
        </w:rPr>
        <w:lastRenderedPageBreak/>
        <w:t>​Không</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Lệ phí:</w:t>
      </w:r>
    </w:p>
    <w:p w:rsidR="0079641E" w:rsidRPr="0079641E" w:rsidRDefault="0079641E" w:rsidP="0079641E">
      <w:pPr>
        <w:shd w:val="clear" w:color="auto" w:fill="F6F6F6"/>
        <w:spacing w:after="75" w:line="270" w:lineRule="atLeast"/>
        <w:jc w:val="both"/>
        <w:rPr>
          <w:rFonts w:eastAsia="Times New Roman" w:cs="Times New Roman"/>
          <w:color w:val="333333"/>
          <w:sz w:val="24"/>
          <w:szCs w:val="24"/>
        </w:rPr>
      </w:pPr>
      <w:r w:rsidRPr="0079641E">
        <w:rPr>
          <w:rFonts w:eastAsia="Times New Roman" w:cs="Times New Roman"/>
          <w:color w:val="333333"/>
          <w:sz w:val="24"/>
          <w:szCs w:val="24"/>
        </w:rPr>
        <w:t>​Không</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Kết quả thực hiện:</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rPr>
        <w:t>​</w:t>
      </w:r>
      <w:r w:rsidRPr="0079641E">
        <w:rPr>
          <w:rFonts w:eastAsia="Times New Roman" w:cs="Times New Roman"/>
          <w:color w:val="333333"/>
          <w:sz w:val="24"/>
          <w:szCs w:val="24"/>
          <w:bdr w:val="none" w:sz="0" w:space="0" w:color="auto" w:frame="1"/>
        </w:rPr>
        <w:t>Quyết định của Chủ tịch UBND tỉnh.</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Cơ quan thực hiện:</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rPr>
        <w:t>​</w:t>
      </w:r>
      <w:r w:rsidRPr="0079641E">
        <w:rPr>
          <w:rFonts w:eastAsia="Times New Roman" w:cs="Times New Roman"/>
          <w:color w:val="333333"/>
          <w:sz w:val="24"/>
          <w:szCs w:val="24"/>
          <w:bdr w:val="none" w:sz="0" w:space="0" w:color="auto" w:frame="1"/>
        </w:rPr>
        <w:t>Cơ quan có thẩm quyền quyết định: Chủ tịch UBND tỉnh.</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Cơ quan trực tiếp thực hiện TTHC: UBND cấp huyện.</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Cơ quan phối hợp: UBND cấp xã.​</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Đối tượng thực hiện:</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rPr>
        <w:t>​</w:t>
      </w:r>
      <w:r w:rsidRPr="0079641E">
        <w:rPr>
          <w:rFonts w:eastAsia="Times New Roman" w:cs="Times New Roman"/>
          <w:color w:val="333333"/>
          <w:sz w:val="24"/>
          <w:szCs w:val="24"/>
          <w:bdr w:val="none" w:sz="0" w:space="0" w:color="auto" w:frame="1"/>
        </w:rPr>
        <w:t>Tổ chức</w:t>
      </w:r>
    </w:p>
    <w:p w:rsidR="0079641E" w:rsidRPr="0079641E" w:rsidRDefault="0079641E" w:rsidP="0079641E">
      <w:pPr>
        <w:shd w:val="clear" w:color="auto" w:fill="F6F6F6"/>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Yêu cầu hoặc điều kiện:</w:t>
      </w:r>
    </w:p>
    <w:p w:rsidR="0079641E" w:rsidRPr="0079641E" w:rsidRDefault="0079641E" w:rsidP="0079641E">
      <w:pPr>
        <w:shd w:val="clear" w:color="auto" w:fill="F6F6F6"/>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rPr>
        <w:t>​</w:t>
      </w:r>
      <w:r w:rsidRPr="0079641E">
        <w:rPr>
          <w:rFonts w:eastAsia="Times New Roman" w:cs="Times New Roman"/>
          <w:b/>
          <w:bCs/>
          <w:color w:val="333333"/>
          <w:sz w:val="24"/>
          <w:szCs w:val="24"/>
          <w:bdr w:val="none" w:sz="0" w:space="0" w:color="auto" w:frame="1"/>
        </w:rPr>
        <w:t>* Quy mô số hộ gia đình:</w:t>
      </w:r>
    </w:p>
    <w:p w:rsidR="0079641E" w:rsidRPr="0079641E" w:rsidRDefault="0079641E" w:rsidP="0079641E">
      <w:pPr>
        <w:shd w:val="clear" w:color="auto" w:fill="F6F6F6"/>
        <w:spacing w:after="0" w:line="270" w:lineRule="atLeast"/>
        <w:ind w:firstLine="709"/>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a) Đối với thôn:</w:t>
      </w:r>
      <w:r w:rsidRPr="0079641E">
        <w:rPr>
          <w:rFonts w:eastAsia="Times New Roman" w:cs="Times New Roman"/>
          <w:color w:val="333333"/>
          <w:sz w:val="24"/>
          <w:szCs w:val="24"/>
          <w:bdr w:val="none" w:sz="0" w:space="0" w:color="auto" w:frame="1"/>
        </w:rPr>
        <w:t> Ở vùng dân cư tương đối tập trung phải có từ 200 hộ gia đình trở lên; ở vùng sâu, vùng xa dân cư thưa thớt, đi lại khó khăn phải có từ 100 hộ gia đình trở lên.</w:t>
      </w:r>
    </w:p>
    <w:p w:rsidR="0079641E" w:rsidRPr="0079641E" w:rsidRDefault="0079641E" w:rsidP="0079641E">
      <w:pPr>
        <w:shd w:val="clear" w:color="auto" w:fill="F6F6F6"/>
        <w:spacing w:after="0" w:line="270" w:lineRule="atLeast"/>
        <w:ind w:firstLine="709"/>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b) Đối với tổ dân phố:</w:t>
      </w:r>
      <w:r w:rsidRPr="0079641E">
        <w:rPr>
          <w:rFonts w:eastAsia="Times New Roman" w:cs="Times New Roman"/>
          <w:color w:val="333333"/>
          <w:sz w:val="24"/>
          <w:szCs w:val="24"/>
          <w:bdr w:val="none" w:sz="0" w:space="0" w:color="auto" w:frame="1"/>
        </w:rPr>
        <w:t> Phải có từ 250 hộ gia đình trở lên đối với tổ dân phố thuộc phường, thị trấn đã được quy hoạch chi tiết khu dân cư hoặc có từ 150 hộ gia đình trở lên đối với tổ dân phố thuộc phường, thị trấn chưa được quy hoạch chi tiết khu dân cư, đồng thời khu dân cư nằm xen kẽ với đất nông nghiệp.</w:t>
      </w:r>
    </w:p>
    <w:p w:rsidR="0079641E" w:rsidRPr="0079641E" w:rsidRDefault="0079641E" w:rsidP="0079641E">
      <w:pPr>
        <w:shd w:val="clear" w:color="auto" w:fill="F6F6F6"/>
        <w:spacing w:after="0" w:line="270" w:lineRule="atLeast"/>
        <w:ind w:firstLine="709"/>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Trường hợp được cấp có thẩm quyền quyết định thành lập phường, thị trấn từ xã thì chuyển các thôn hiện có của xã thành tổ dân phố thuộc phường, thị trấn.</w:t>
      </w:r>
    </w:p>
    <w:p w:rsidR="0079641E" w:rsidRPr="0079641E" w:rsidRDefault="0079641E" w:rsidP="0079641E">
      <w:pPr>
        <w:shd w:val="clear" w:color="auto" w:fill="F6F6F6"/>
        <w:spacing w:after="0" w:line="270" w:lineRule="atLeast"/>
        <w:ind w:firstLine="709"/>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 Các điều kiện khác:</w:t>
      </w:r>
    </w:p>
    <w:p w:rsidR="0079641E" w:rsidRPr="0079641E" w:rsidRDefault="0079641E" w:rsidP="0079641E">
      <w:pPr>
        <w:shd w:val="clear" w:color="auto" w:fill="F6F6F6"/>
        <w:spacing w:after="0" w:line="270" w:lineRule="atLeast"/>
        <w:ind w:firstLine="709"/>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Thôn và tổ dân phố phải có cơ sở hạ tầng kinh tế - xã hội thiết yếu, phù hợp với điều kiện thực tế của địa phương để phục vụ hoạt động cộng đồng và ổn định cuộc sống của người dân. Riêng đối với thôn phải bảo đảm diện tích đất ở và đất sản xuất bình quân của mỗi hộ gia đình ít nhất bằng mức bình quân chung của xã. (Quy định tại Điều 7 Quyết định số 31/2013/QĐ-UBND ngày 02/10/2013 của Ủy ban nhân dân tỉnh Gia Lai).</w:t>
      </w:r>
    </w:p>
    <w:p w:rsidR="0079641E" w:rsidRPr="0079641E" w:rsidRDefault="0079641E" w:rsidP="0079641E">
      <w:pPr>
        <w:shd w:val="clear" w:color="auto" w:fill="FFFFFF"/>
        <w:spacing w:after="0" w:line="240" w:lineRule="auto"/>
        <w:jc w:val="both"/>
        <w:rPr>
          <w:rFonts w:eastAsia="Times New Roman" w:cs="Times New Roman"/>
          <w:color w:val="333333"/>
          <w:sz w:val="24"/>
          <w:szCs w:val="24"/>
        </w:rPr>
      </w:pPr>
      <w:r w:rsidRPr="0079641E">
        <w:rPr>
          <w:rFonts w:eastAsia="Times New Roman" w:cs="Times New Roman"/>
          <w:b/>
          <w:bCs/>
          <w:color w:val="333333"/>
          <w:sz w:val="24"/>
          <w:szCs w:val="24"/>
          <w:bdr w:val="none" w:sz="0" w:space="0" w:color="auto" w:frame="1"/>
        </w:rPr>
        <w:t>Căn cứ pháp lý:</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rPr>
        <w:t>​</w:t>
      </w:r>
      <w:r w:rsidRPr="0079641E">
        <w:rPr>
          <w:rFonts w:eastAsia="Times New Roman" w:cs="Times New Roman"/>
          <w:color w:val="333333"/>
          <w:sz w:val="24"/>
          <w:szCs w:val="24"/>
          <w:bdr w:val="none" w:sz="0" w:space="0" w:color="auto" w:frame="1"/>
        </w:rPr>
        <w:t>- Pháp lệnh thực hiện dân chủ ở xã, phường, thị trấn ngày 20/4/2007;</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-Nghị quyết Liên tịch số 09/2008/NQLT-CP-UBTWMTTQVN ngày 17/4/2008 của Chính phủ và Ủy ban Trung ương Mặt trận Tổ quốc Việt Nam hướng dẫn thi hành Điều 11, Điều 14, Điều 16, Điều 22 và Điều 26 của Pháp lệnh thực hiện dân chủ ở xã, phường, thị trấn;</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 Thông tư số 04/2012/TT-BNV ngày 31/8/2012 của Bộ Nội vụ hướng dẫn về tổ chức và hoạt động của thôn, tổ dân phố.</w:t>
      </w:r>
    </w:p>
    <w:p w:rsidR="0079641E" w:rsidRPr="0079641E" w:rsidRDefault="0079641E" w:rsidP="0079641E">
      <w:pPr>
        <w:shd w:val="clear" w:color="auto" w:fill="FFFFFF"/>
        <w:spacing w:after="0" w:line="270" w:lineRule="atLeast"/>
        <w:jc w:val="both"/>
        <w:rPr>
          <w:rFonts w:eastAsia="Times New Roman" w:cs="Times New Roman"/>
          <w:color w:val="333333"/>
          <w:sz w:val="24"/>
          <w:szCs w:val="24"/>
        </w:rPr>
      </w:pPr>
      <w:r w:rsidRPr="0079641E">
        <w:rPr>
          <w:rFonts w:eastAsia="Times New Roman" w:cs="Times New Roman"/>
          <w:color w:val="333333"/>
          <w:sz w:val="24"/>
          <w:szCs w:val="24"/>
          <w:bdr w:val="none" w:sz="0" w:space="0" w:color="auto" w:frame="1"/>
        </w:rPr>
        <w:t>- Quy định số 31/2013/QĐ-UBND ngày 02/10/2013 của Ủy ban nhân dân tỉnh ban hành Quy chế tổ chức và hoạt động thôn, tổ dân phố trên địa bàn tỉnh Gia Lai.</w:t>
      </w:r>
    </w:p>
    <w:p w:rsidR="003E268A" w:rsidRPr="0079641E" w:rsidRDefault="003E268A">
      <w:pPr>
        <w:rPr>
          <w:rFonts w:cs="Times New Roman"/>
          <w:sz w:val="24"/>
          <w:szCs w:val="24"/>
        </w:rPr>
      </w:pPr>
    </w:p>
    <w:sectPr w:rsidR="003E268A" w:rsidRPr="00796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1E"/>
    <w:rsid w:val="003E268A"/>
    <w:rsid w:val="0079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641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41E"/>
    <w:rPr>
      <w:rFonts w:eastAsia="Times New Roman" w:cs="Times New Roman"/>
      <w:b/>
      <w:bCs/>
      <w:sz w:val="36"/>
      <w:szCs w:val="36"/>
    </w:rPr>
  </w:style>
  <w:style w:type="character" w:styleId="Strong">
    <w:name w:val="Strong"/>
    <w:basedOn w:val="DefaultParagraphFont"/>
    <w:uiPriority w:val="22"/>
    <w:qFormat/>
    <w:rsid w:val="0079641E"/>
    <w:rPr>
      <w:b/>
      <w:bCs/>
    </w:rPr>
  </w:style>
  <w:style w:type="paragraph" w:styleId="NormalWeb">
    <w:name w:val="Normal (Web)"/>
    <w:basedOn w:val="Normal"/>
    <w:uiPriority w:val="99"/>
    <w:semiHidden/>
    <w:unhideWhenUsed/>
    <w:rsid w:val="0079641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641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41E"/>
    <w:rPr>
      <w:rFonts w:eastAsia="Times New Roman" w:cs="Times New Roman"/>
      <w:b/>
      <w:bCs/>
      <w:sz w:val="36"/>
      <w:szCs w:val="36"/>
    </w:rPr>
  </w:style>
  <w:style w:type="character" w:styleId="Strong">
    <w:name w:val="Strong"/>
    <w:basedOn w:val="DefaultParagraphFont"/>
    <w:uiPriority w:val="22"/>
    <w:qFormat/>
    <w:rsid w:val="0079641E"/>
    <w:rPr>
      <w:b/>
      <w:bCs/>
    </w:rPr>
  </w:style>
  <w:style w:type="paragraph" w:styleId="NormalWeb">
    <w:name w:val="Normal (Web)"/>
    <w:basedOn w:val="Normal"/>
    <w:uiPriority w:val="99"/>
    <w:semiHidden/>
    <w:unhideWhenUsed/>
    <w:rsid w:val="0079641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31975">
      <w:bodyDiv w:val="1"/>
      <w:marLeft w:val="0"/>
      <w:marRight w:val="0"/>
      <w:marTop w:val="0"/>
      <w:marBottom w:val="0"/>
      <w:divBdr>
        <w:top w:val="none" w:sz="0" w:space="0" w:color="auto"/>
        <w:left w:val="none" w:sz="0" w:space="0" w:color="auto"/>
        <w:bottom w:val="none" w:sz="0" w:space="0" w:color="auto"/>
        <w:right w:val="none" w:sz="0" w:space="0" w:color="auto"/>
      </w:divBdr>
      <w:divsChild>
        <w:div w:id="50975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2020-01-21T03:48:00Z</dcterms:created>
  <dcterms:modified xsi:type="dcterms:W3CDTF">2020-01-21T03:49:00Z</dcterms:modified>
</cp:coreProperties>
</file>