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7937DF" w:rsidRDefault="007937DF" w:rsidP="007937DF">
      <w:pPr>
        <w:ind w:left="360"/>
        <w:rPr>
          <w:rFonts w:cs="Times New Roman"/>
          <w:b/>
          <w:color w:val="000000" w:themeColor="text1"/>
          <w:sz w:val="24"/>
          <w:szCs w:val="24"/>
        </w:rPr>
      </w:pPr>
      <w:bookmarkStart w:id="0" w:name="_GoBack"/>
      <w:bookmarkEnd w:id="0"/>
      <w:r>
        <w:rPr>
          <w:b/>
          <w:sz w:val="26"/>
          <w:szCs w:val="26"/>
        </w:rPr>
        <w:t>4.Chấm dứt</w:t>
      </w:r>
      <w:r w:rsidR="00322E95" w:rsidRPr="007937DF">
        <w:rPr>
          <w:b/>
          <w:sz w:val="26"/>
          <w:szCs w:val="26"/>
        </w:rPr>
        <w:t xml:space="preserve"> hoạt động</w:t>
      </w:r>
      <w:r w:rsidR="00DE75AD" w:rsidRPr="007937DF">
        <w:rPr>
          <w:b/>
          <w:sz w:val="26"/>
          <w:szCs w:val="26"/>
        </w:rPr>
        <w:t xml:space="preserve"> </w:t>
      </w:r>
      <w:r w:rsidR="00507468" w:rsidRPr="007937DF">
        <w:rPr>
          <w:b/>
          <w:sz w:val="26"/>
          <w:szCs w:val="26"/>
        </w:rPr>
        <w:t>hộ kinh doanh</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507468"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Thẩm quyền giải quyết</w:t>
            </w:r>
          </w:p>
        </w:tc>
        <w:tc>
          <w:tcPr>
            <w:tcW w:w="7796"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UBND huyện</w:t>
            </w:r>
          </w:p>
        </w:tc>
      </w:tr>
      <w:tr w:rsidR="002064D6" w:rsidRPr="00507468"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Lĩnh vực</w:t>
            </w:r>
          </w:p>
        </w:tc>
        <w:tc>
          <w:tcPr>
            <w:tcW w:w="7796" w:type="dxa"/>
          </w:tcPr>
          <w:p w:rsidR="008F18D5" w:rsidRPr="00DF1EA2" w:rsidRDefault="00507468" w:rsidP="008F18D5">
            <w:pPr>
              <w:rPr>
                <w:rFonts w:cs="Times New Roman"/>
                <w:color w:val="000000" w:themeColor="text1"/>
                <w:sz w:val="24"/>
                <w:szCs w:val="24"/>
              </w:rPr>
            </w:pPr>
            <w:r w:rsidRPr="00DF1EA2">
              <w:rPr>
                <w:rFonts w:cs="Times New Roman"/>
                <w:color w:val="000000" w:themeColor="text1"/>
                <w:sz w:val="24"/>
                <w:szCs w:val="24"/>
              </w:rPr>
              <w:t>Lĩnh vực Đăng ký kinh doanh, hợp tác xã</w:t>
            </w:r>
          </w:p>
        </w:tc>
      </w:tr>
      <w:tr w:rsidR="002064D6" w:rsidRPr="00507468"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bCs/>
                <w:color w:val="000000" w:themeColor="text1"/>
                <w:sz w:val="24"/>
                <w:szCs w:val="24"/>
                <w:shd w:val="clear" w:color="auto" w:fill="F5F5F5"/>
              </w:rPr>
              <w:t>Cách thức thực hiện</w:t>
            </w:r>
          </w:p>
        </w:tc>
        <w:tc>
          <w:tcPr>
            <w:tcW w:w="7796" w:type="dxa"/>
          </w:tcPr>
          <w:p w:rsidR="008F18D5" w:rsidRPr="00DF1EA2" w:rsidRDefault="00507468" w:rsidP="00507468">
            <w:pPr>
              <w:rPr>
                <w:rFonts w:cs="Times New Roman"/>
                <w:color w:val="000000" w:themeColor="text1"/>
                <w:sz w:val="24"/>
                <w:szCs w:val="24"/>
              </w:rPr>
            </w:pPr>
            <w:r w:rsidRPr="00DF1EA2">
              <w:rPr>
                <w:rFonts w:cs="Times New Roman"/>
                <w:color w:val="000000" w:themeColor="text1"/>
                <w:sz w:val="24"/>
                <w:szCs w:val="24"/>
              </w:rPr>
              <w:t xml:space="preserve">- </w:t>
            </w:r>
            <w:r w:rsidR="0041722D" w:rsidRPr="00DF1EA2">
              <w:rPr>
                <w:rFonts w:cs="Times New Roman"/>
                <w:color w:val="000000" w:themeColor="text1"/>
                <w:sz w:val="24"/>
                <w:szCs w:val="24"/>
              </w:rPr>
              <w:t>Nộp hồ sơ tại bộ phận tiếp nhận và trả kết quả huyện</w:t>
            </w:r>
          </w:p>
          <w:p w:rsidR="00507468" w:rsidRPr="00DF1EA2" w:rsidRDefault="00507468" w:rsidP="00507468">
            <w:pPr>
              <w:rPr>
                <w:rFonts w:cs="Times New Roman"/>
                <w:color w:val="000000" w:themeColor="text1"/>
                <w:sz w:val="24"/>
                <w:szCs w:val="24"/>
              </w:rPr>
            </w:pPr>
            <w:r w:rsidRPr="00DF1EA2">
              <w:rPr>
                <w:rFonts w:cs="Times New Roman"/>
                <w:color w:val="000000" w:themeColor="text1"/>
                <w:sz w:val="24"/>
                <w:szCs w:val="24"/>
              </w:rPr>
              <w:t xml:space="preserve">- Qua Bưu điện </w:t>
            </w:r>
          </w:p>
          <w:p w:rsidR="00507468" w:rsidRPr="00DF1EA2" w:rsidRDefault="00507468" w:rsidP="00B54A0A">
            <w:pPr>
              <w:rPr>
                <w:rFonts w:cs="Times New Roman"/>
                <w:color w:val="000000" w:themeColor="text1"/>
                <w:sz w:val="24"/>
                <w:szCs w:val="24"/>
              </w:rPr>
            </w:pPr>
          </w:p>
        </w:tc>
      </w:tr>
      <w:tr w:rsidR="002064D6" w:rsidRPr="0025395D"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Trình tự thực hiện</w:t>
            </w:r>
          </w:p>
        </w:tc>
        <w:tc>
          <w:tcPr>
            <w:tcW w:w="7796" w:type="dxa"/>
          </w:tcPr>
          <w:p w:rsidR="008F18D5" w:rsidRPr="00DF1EA2" w:rsidRDefault="003D18CD" w:rsidP="00DF1EA2">
            <w:pPr>
              <w:rPr>
                <w:rFonts w:cs="Times New Roman"/>
                <w:color w:val="000000" w:themeColor="text1"/>
                <w:sz w:val="24"/>
                <w:szCs w:val="24"/>
                <w:lang w:val="vi-VN"/>
              </w:rPr>
            </w:pPr>
            <w:r>
              <w:rPr>
                <w:sz w:val="24"/>
                <w:szCs w:val="24"/>
                <w:lang w:eastAsia="vi-VN"/>
              </w:rPr>
              <w:t>(</w:t>
            </w:r>
            <w:r w:rsidR="00507468" w:rsidRPr="00DF1EA2">
              <w:rPr>
                <w:sz w:val="24"/>
                <w:szCs w:val="24"/>
                <w:lang w:val="vi-VN" w:eastAsia="vi-VN"/>
              </w:rPr>
              <w:t xml:space="preserve">1) Hồ sơ nộp tại  Bộ phận tiếp nhận và trả kết quả huyện. (2) Công chức Phòng </w:t>
            </w:r>
            <w:r w:rsidR="00DF1EA2" w:rsidRPr="00DF1EA2">
              <w:rPr>
                <w:sz w:val="24"/>
                <w:szCs w:val="24"/>
                <w:lang w:val="vi-VN" w:eastAsia="vi-VN"/>
              </w:rPr>
              <w:t>Tài chính Kế hoạch</w:t>
            </w:r>
            <w:r w:rsidR="00507468" w:rsidRPr="00DF1EA2">
              <w:rPr>
                <w:sz w:val="24"/>
                <w:szCs w:val="24"/>
                <w:lang w:val="vi-VN" w:eastAsia="vi-VN"/>
              </w:rPr>
              <w:t xml:space="preserve"> tiếp nhận và kiểm tra thành phần hồ sơ; nếu hồ sơ chưa đảm bảo thì trả lại để bổ sung hoàn chỉnh, nếu hồ sơ đảm bảo theo quy định thì tiếp nhận báo cáo đề xuất lãnh đạo Phòng xem xét. (3) Trình lãnh đạo Phòng </w:t>
            </w:r>
            <w:r w:rsidR="00DF1EA2" w:rsidRPr="00DF1EA2">
              <w:rPr>
                <w:sz w:val="24"/>
                <w:szCs w:val="24"/>
                <w:lang w:val="vi-VN" w:eastAsia="vi-VN"/>
              </w:rPr>
              <w:t>Tài chính Kế hoạch</w:t>
            </w:r>
            <w:r w:rsidR="00507468" w:rsidRPr="00DF1EA2">
              <w:rPr>
                <w:sz w:val="24"/>
                <w:szCs w:val="24"/>
                <w:lang w:val="vi-VN" w:eastAsia="vi-VN"/>
              </w:rPr>
              <w:t xml:space="preserve"> xem xét phê duyệt. (</w:t>
            </w:r>
            <w:r w:rsidR="00DF1EA2" w:rsidRPr="00DF1EA2">
              <w:rPr>
                <w:sz w:val="24"/>
                <w:szCs w:val="24"/>
                <w:lang w:val="vi-VN" w:eastAsia="vi-VN"/>
              </w:rPr>
              <w:t>4</w:t>
            </w:r>
            <w:r w:rsidR="00507468" w:rsidRPr="00DF1EA2">
              <w:rPr>
                <w:sz w:val="24"/>
                <w:szCs w:val="24"/>
                <w:lang w:val="vi-VN" w:eastAsia="vi-VN"/>
              </w:rPr>
              <w:t xml:space="preserve">) Công chức Phòng </w:t>
            </w:r>
            <w:r w:rsidR="00DF1EA2" w:rsidRPr="00DF1EA2">
              <w:rPr>
                <w:sz w:val="24"/>
                <w:szCs w:val="24"/>
                <w:lang w:val="vi-VN" w:eastAsia="vi-VN"/>
              </w:rPr>
              <w:t>Tài chính Kế hoạch</w:t>
            </w:r>
            <w:r w:rsidR="00507468" w:rsidRPr="00DF1EA2">
              <w:rPr>
                <w:sz w:val="24"/>
                <w:szCs w:val="24"/>
                <w:lang w:val="vi-VN" w:eastAsia="vi-VN"/>
              </w:rPr>
              <w:t xml:space="preserve"> thực hiện trả kết quả cho công dân tại Bộ phận tiếp nhận và trả kết quả huyện.</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Thành phần hồ sơ</w:t>
            </w:r>
          </w:p>
        </w:tc>
        <w:tc>
          <w:tcPr>
            <w:tcW w:w="7796" w:type="dxa"/>
          </w:tcPr>
          <w:p w:rsidR="002A6B81" w:rsidRDefault="00C14DC4" w:rsidP="002A6B81">
            <w:pPr>
              <w:rPr>
                <w:rFonts w:eastAsia="Times New Roman" w:cs="Times New Roman"/>
                <w:color w:val="333333"/>
                <w:sz w:val="24"/>
                <w:szCs w:val="24"/>
              </w:rPr>
            </w:pPr>
            <w:r w:rsidRPr="00DF1EA2">
              <w:rPr>
                <w:rFonts w:eastAsia="Times New Roman" w:cs="Times New Roman"/>
                <w:color w:val="333333"/>
                <w:sz w:val="24"/>
                <w:szCs w:val="24"/>
              </w:rPr>
              <w:sym w:font="Symbol" w:char="F02A"/>
            </w:r>
            <w:r w:rsidRPr="00DF1EA2">
              <w:rPr>
                <w:rFonts w:eastAsia="Times New Roman" w:cs="Times New Roman"/>
                <w:color w:val="333333"/>
                <w:sz w:val="24"/>
                <w:szCs w:val="24"/>
              </w:rPr>
              <w:t xml:space="preserve"> Thành phần hồ sơ: - </w:t>
            </w:r>
            <w:r w:rsidR="00F04750" w:rsidRPr="00F04750">
              <w:rPr>
                <w:rFonts w:eastAsia="Times New Roman" w:cs="Times New Roman"/>
                <w:sz w:val="24"/>
                <w:szCs w:val="24"/>
              </w:rPr>
              <w:t xml:space="preserve">Thông báo về việc </w:t>
            </w:r>
            <w:r w:rsidR="002A6B81">
              <w:rPr>
                <w:rFonts w:eastAsia="Times New Roman" w:cs="Times New Roman"/>
                <w:sz w:val="24"/>
                <w:szCs w:val="24"/>
              </w:rPr>
              <w:t>chấm dứt hoạt động</w:t>
            </w:r>
            <w:r w:rsidR="00F04750" w:rsidRPr="00F04750">
              <w:rPr>
                <w:rFonts w:eastAsia="Times New Roman" w:cs="Times New Roman"/>
                <w:sz w:val="24"/>
                <w:szCs w:val="24"/>
              </w:rPr>
              <w:t xml:space="preserve"> kinh doanh</w:t>
            </w:r>
            <w:r w:rsidR="00F04750" w:rsidRPr="007F2325">
              <w:rPr>
                <w:rFonts w:eastAsia="Times New Roman" w:cs="Times New Roman"/>
                <w:szCs w:val="28"/>
              </w:rPr>
              <w:t>.</w:t>
            </w:r>
            <w:r w:rsidR="00DE75AD" w:rsidRPr="000C1825">
              <w:rPr>
                <w:rFonts w:eastAsia="Times New Roman" w:cs="Times New Roman"/>
                <w:color w:val="1E2F41"/>
                <w:sz w:val="26"/>
                <w:szCs w:val="26"/>
              </w:rPr>
              <w:t xml:space="preserve"> </w:t>
            </w:r>
            <w:r w:rsidRPr="00DF1EA2">
              <w:rPr>
                <w:rFonts w:eastAsia="Times New Roman" w:cs="Times New Roman"/>
                <w:color w:val="333333"/>
                <w:sz w:val="24"/>
                <w:szCs w:val="24"/>
              </w:rPr>
              <w:t>(Theo mẫu)</w:t>
            </w:r>
            <w:r w:rsidR="00F04750">
              <w:rPr>
                <w:rFonts w:eastAsia="Times New Roman" w:cs="Times New Roman"/>
                <w:color w:val="333333"/>
                <w:sz w:val="24"/>
                <w:szCs w:val="24"/>
              </w:rPr>
              <w:t>.</w:t>
            </w:r>
            <w:r w:rsidRPr="00DF1EA2">
              <w:rPr>
                <w:rFonts w:eastAsia="Times New Roman" w:cs="Times New Roman"/>
                <w:color w:val="333333"/>
                <w:sz w:val="24"/>
                <w:szCs w:val="24"/>
              </w:rPr>
              <w:t xml:space="preserve"> </w:t>
            </w:r>
            <w:r w:rsidR="002A6B81" w:rsidRPr="00DF1EA2">
              <w:rPr>
                <w:rFonts w:eastAsia="Times New Roman" w:cs="Times New Roman"/>
                <w:color w:val="333333"/>
                <w:sz w:val="24"/>
                <w:szCs w:val="24"/>
              </w:rPr>
              <w:t xml:space="preserve">- Bản </w:t>
            </w:r>
            <w:r w:rsidR="002A6B81">
              <w:rPr>
                <w:rFonts w:eastAsia="Times New Roman" w:cs="Times New Roman"/>
                <w:color w:val="333333"/>
                <w:sz w:val="24"/>
                <w:szCs w:val="24"/>
              </w:rPr>
              <w:t>chính giấy chứng nhân đăng ký hộ kinh doanh</w:t>
            </w:r>
          </w:p>
          <w:p w:rsidR="002064D6" w:rsidRPr="00DF1EA2" w:rsidRDefault="00C14DC4" w:rsidP="00F04750">
            <w:pPr>
              <w:rPr>
                <w:rFonts w:cs="Times New Roman"/>
                <w:color w:val="000000" w:themeColor="text1"/>
                <w:sz w:val="24"/>
                <w:szCs w:val="24"/>
              </w:rPr>
            </w:pPr>
            <w:r w:rsidRPr="00DF1EA2">
              <w:rPr>
                <w:rFonts w:eastAsia="Times New Roman" w:cs="Times New Roman"/>
                <w:color w:val="333333"/>
                <w:sz w:val="24"/>
                <w:szCs w:val="24"/>
              </w:rPr>
              <w:sym w:font="Symbol" w:char="F02A"/>
            </w:r>
            <w:r w:rsidRPr="00DF1EA2">
              <w:rPr>
                <w:rFonts w:eastAsia="Times New Roman" w:cs="Times New Roman"/>
                <w:color w:val="333333"/>
                <w:sz w:val="24"/>
                <w:szCs w:val="24"/>
              </w:rPr>
              <w:t xml:space="preserve"> Số lượng hồ sơ: 01 bộ hồ sơ.</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Thời hạn giải quyết</w:t>
            </w:r>
          </w:p>
        </w:tc>
        <w:tc>
          <w:tcPr>
            <w:tcW w:w="7796" w:type="dxa"/>
          </w:tcPr>
          <w:p w:rsidR="008F18D5" w:rsidRPr="00DF1EA2" w:rsidRDefault="00C14DC4" w:rsidP="0025395D">
            <w:pPr>
              <w:pStyle w:val="NormalWeb"/>
              <w:shd w:val="clear" w:color="auto" w:fill="FFFFFF"/>
              <w:spacing w:before="0" w:beforeAutospacing="0" w:after="0" w:afterAutospacing="0"/>
              <w:textAlignment w:val="baseline"/>
              <w:rPr>
                <w:color w:val="000000" w:themeColor="text1"/>
              </w:rPr>
            </w:pPr>
            <w:r w:rsidRPr="00DF1EA2">
              <w:rPr>
                <w:color w:val="333333"/>
              </w:rPr>
              <w:t>Trong thời hạn 0</w:t>
            </w:r>
            <w:r w:rsidR="002A6B81">
              <w:rPr>
                <w:color w:val="333333"/>
              </w:rPr>
              <w:t>1</w:t>
            </w:r>
            <w:r w:rsidRPr="00DF1EA2">
              <w:rPr>
                <w:color w:val="333333"/>
              </w:rPr>
              <w:t xml:space="preserve"> (</w:t>
            </w:r>
            <w:r w:rsidR="0025395D">
              <w:rPr>
                <w:color w:val="333333"/>
              </w:rPr>
              <w:t>một</w:t>
            </w:r>
            <w:r w:rsidRPr="00DF1EA2">
              <w:rPr>
                <w:color w:val="333333"/>
              </w:rPr>
              <w:t>) ngày làm việc.</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Lệ phí</w:t>
            </w:r>
          </w:p>
        </w:tc>
        <w:tc>
          <w:tcPr>
            <w:tcW w:w="7796" w:type="dxa"/>
          </w:tcPr>
          <w:p w:rsidR="008F18D5" w:rsidRPr="00DF1EA2" w:rsidRDefault="00F04750" w:rsidP="00B54A0A">
            <w:pPr>
              <w:rPr>
                <w:rFonts w:cs="Times New Roman"/>
                <w:color w:val="000000" w:themeColor="text1"/>
                <w:sz w:val="24"/>
                <w:szCs w:val="24"/>
              </w:rPr>
            </w:pPr>
            <w:r>
              <w:rPr>
                <w:rFonts w:eastAsia="Times New Roman" w:cs="Times New Roman"/>
                <w:color w:val="333333"/>
                <w:sz w:val="24"/>
                <w:szCs w:val="24"/>
              </w:rPr>
              <w:t>Không</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Kết quả thực hiện</w:t>
            </w:r>
          </w:p>
        </w:tc>
        <w:tc>
          <w:tcPr>
            <w:tcW w:w="7796" w:type="dxa"/>
          </w:tcPr>
          <w:p w:rsidR="008F18D5" w:rsidRPr="00DF1EA2" w:rsidRDefault="002A6B81" w:rsidP="00F04750">
            <w:pPr>
              <w:rPr>
                <w:rFonts w:cs="Times New Roman"/>
                <w:color w:val="000000" w:themeColor="text1"/>
                <w:sz w:val="24"/>
                <w:szCs w:val="24"/>
              </w:rPr>
            </w:pPr>
            <w:r>
              <w:rPr>
                <w:rFonts w:eastAsia="Times New Roman" w:cs="Times New Roman"/>
                <w:sz w:val="24"/>
                <w:szCs w:val="24"/>
              </w:rPr>
              <w:t xml:space="preserve">Quyết định thu hồi giấy chứng đăng ký hộ </w:t>
            </w:r>
            <w:r w:rsidR="00F04750" w:rsidRPr="00F04750">
              <w:rPr>
                <w:rFonts w:eastAsia="Times New Roman" w:cs="Times New Roman"/>
                <w:sz w:val="24"/>
                <w:szCs w:val="24"/>
              </w:rPr>
              <w:t xml:space="preserve">kinh doanh </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Cơ quan thực hiện</w:t>
            </w:r>
          </w:p>
        </w:tc>
        <w:tc>
          <w:tcPr>
            <w:tcW w:w="7796" w:type="dxa"/>
          </w:tcPr>
          <w:p w:rsidR="0041722D" w:rsidRPr="00DF1EA2" w:rsidRDefault="0041722D" w:rsidP="0041722D">
            <w:pPr>
              <w:shd w:val="clear" w:color="auto" w:fill="FFFFFF"/>
              <w:rPr>
                <w:rFonts w:eastAsia="Times New Roman" w:cs="Times New Roman"/>
                <w:color w:val="000000" w:themeColor="text1"/>
                <w:sz w:val="24"/>
                <w:szCs w:val="24"/>
              </w:rPr>
            </w:pPr>
            <w:r w:rsidRPr="00DF1EA2">
              <w:rPr>
                <w:rFonts w:eastAsia="Times New Roman" w:cs="Times New Roman"/>
                <w:color w:val="000000" w:themeColor="text1"/>
                <w:sz w:val="24"/>
                <w:szCs w:val="24"/>
              </w:rPr>
              <w:t xml:space="preserve">Phòng </w:t>
            </w:r>
            <w:r w:rsidR="00C14DC4" w:rsidRPr="00DF1EA2">
              <w:rPr>
                <w:rFonts w:eastAsia="Times New Roman" w:cs="Times New Roman"/>
                <w:color w:val="000000" w:themeColor="text1"/>
                <w:sz w:val="24"/>
                <w:szCs w:val="24"/>
              </w:rPr>
              <w:t>Tài chính Kế hoạch</w:t>
            </w:r>
          </w:p>
          <w:p w:rsidR="008F18D5" w:rsidRPr="00DF1EA2" w:rsidRDefault="008F18D5" w:rsidP="00B54A0A">
            <w:pPr>
              <w:rPr>
                <w:rFonts w:cs="Times New Roman"/>
                <w:color w:val="000000" w:themeColor="text1"/>
                <w:sz w:val="24"/>
                <w:szCs w:val="24"/>
                <w:shd w:val="clear" w:color="auto" w:fill="FFFFFF"/>
              </w:rPr>
            </w:pP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Đối tượng thực hiện</w:t>
            </w:r>
          </w:p>
        </w:tc>
        <w:tc>
          <w:tcPr>
            <w:tcW w:w="7796" w:type="dxa"/>
          </w:tcPr>
          <w:p w:rsidR="008F18D5" w:rsidRPr="00DF1EA2" w:rsidRDefault="00C14DC4" w:rsidP="00B54A0A">
            <w:pPr>
              <w:rPr>
                <w:rFonts w:cs="Times New Roman"/>
                <w:color w:val="000000" w:themeColor="text1"/>
                <w:sz w:val="24"/>
                <w:szCs w:val="24"/>
                <w:shd w:val="clear" w:color="auto" w:fill="FFFFFF"/>
              </w:rPr>
            </w:pPr>
            <w:r w:rsidRPr="00DF1EA2">
              <w:rPr>
                <w:rFonts w:eastAsia="Times New Roman" w:cs="Times New Roman"/>
                <w:color w:val="333333"/>
                <w:sz w:val="24"/>
                <w:szCs w:val="24"/>
              </w:rPr>
              <w:t>Cá nhân, đại diện hộ gia đình.</w:t>
            </w:r>
          </w:p>
        </w:tc>
      </w:tr>
      <w:tr w:rsidR="002064D6" w:rsidRPr="00F04750"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Yêu cầu hoặc điều kiện</w:t>
            </w:r>
          </w:p>
        </w:tc>
        <w:tc>
          <w:tcPr>
            <w:tcW w:w="7796" w:type="dxa"/>
          </w:tcPr>
          <w:p w:rsidR="008F18D5" w:rsidRPr="002A6B81" w:rsidRDefault="002A6B81" w:rsidP="00F04750">
            <w:pPr>
              <w:ind w:right="57" w:firstLine="57"/>
              <w:jc w:val="both"/>
              <w:rPr>
                <w:rFonts w:cs="Times New Roman"/>
                <w:color w:val="000000" w:themeColor="text1"/>
                <w:sz w:val="24"/>
                <w:szCs w:val="24"/>
                <w:shd w:val="clear" w:color="auto" w:fill="FFFFFF"/>
                <w:lang w:val="nl-NL"/>
              </w:rPr>
            </w:pPr>
            <w:r w:rsidRPr="002A6B81">
              <w:rPr>
                <w:rFonts w:eastAsia="Times New Roman" w:cs="Times New Roman"/>
                <w:color w:val="000000"/>
                <w:sz w:val="24"/>
                <w:szCs w:val="24"/>
              </w:rPr>
              <w:t>Hộ kinh doanh thanh toán đầy đủ các khoản nợ, gồm cả nợ thuế và nghĩa vụ tài chính chưa thực hiện</w:t>
            </w:r>
          </w:p>
        </w:tc>
      </w:tr>
      <w:tr w:rsidR="002064D6" w:rsidRPr="0025395D"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Căn cứ pháp lý</w:t>
            </w:r>
          </w:p>
        </w:tc>
        <w:tc>
          <w:tcPr>
            <w:tcW w:w="7796" w:type="dxa"/>
          </w:tcPr>
          <w:p w:rsidR="00C14DC4" w:rsidRPr="00DF1EA2" w:rsidRDefault="00C14DC4" w:rsidP="00C14DC4">
            <w:pPr>
              <w:ind w:right="57" w:firstLine="57"/>
              <w:jc w:val="both"/>
              <w:rPr>
                <w:sz w:val="24"/>
                <w:szCs w:val="24"/>
                <w:lang w:val="nl-NL"/>
              </w:rPr>
            </w:pPr>
            <w:r w:rsidRPr="00DF1EA2">
              <w:rPr>
                <w:sz w:val="24"/>
                <w:szCs w:val="24"/>
                <w:lang w:val="nl-NL"/>
              </w:rPr>
              <w:t>- Luật Doanh nghiệp số 68/2014/QH13.</w:t>
            </w:r>
          </w:p>
          <w:p w:rsidR="00C14DC4" w:rsidRPr="00DF1EA2" w:rsidRDefault="00C14DC4" w:rsidP="00C14DC4">
            <w:pPr>
              <w:ind w:right="57" w:firstLine="57"/>
              <w:jc w:val="both"/>
              <w:rPr>
                <w:sz w:val="24"/>
                <w:szCs w:val="24"/>
                <w:lang w:val="nl-NL"/>
              </w:rPr>
            </w:pPr>
            <w:r w:rsidRPr="00DF1EA2">
              <w:rPr>
                <w:sz w:val="24"/>
                <w:szCs w:val="24"/>
                <w:lang w:val="nl-NL"/>
              </w:rPr>
              <w:t>- Nghị định số 78/2015/NĐ-CP ngày 14/9/2015 của Chính phủ về đăng ký doanh nghiệp.</w:t>
            </w:r>
          </w:p>
          <w:p w:rsidR="00C14DC4" w:rsidRPr="00DF1EA2" w:rsidRDefault="00C14DC4" w:rsidP="00C14DC4">
            <w:pPr>
              <w:ind w:right="57" w:firstLine="57"/>
              <w:jc w:val="both"/>
              <w:rPr>
                <w:sz w:val="24"/>
                <w:szCs w:val="24"/>
                <w:lang w:val="nl-NL"/>
              </w:rPr>
            </w:pPr>
            <w:r w:rsidRPr="00DF1EA2">
              <w:rPr>
                <w:sz w:val="24"/>
                <w:szCs w:val="24"/>
                <w:lang w:val="nl-NL"/>
              </w:rPr>
              <w:t>- Thông tư số 20/2015/TT-BKHĐT ngày 01/12/2015 của Bộ Kế hoạch và Đầu tư hướng dẫn Nghị định số 78/2015/NĐ-CP.</w:t>
            </w:r>
          </w:p>
          <w:p w:rsidR="00C14DC4" w:rsidRPr="00DF1EA2" w:rsidRDefault="00C14DC4" w:rsidP="00C14DC4">
            <w:pPr>
              <w:ind w:right="57" w:firstLine="57"/>
              <w:jc w:val="both"/>
              <w:rPr>
                <w:sz w:val="24"/>
                <w:szCs w:val="24"/>
                <w:lang w:val="nl-NL"/>
              </w:rPr>
            </w:pPr>
            <w:r w:rsidRPr="00DF1EA2">
              <w:rPr>
                <w:sz w:val="24"/>
                <w:szCs w:val="24"/>
                <w:lang w:val="nl-NL"/>
              </w:rPr>
              <w:t>- Thông tư số 02/2019/TT-BKHĐT ngày 08/01/2019 của Bộ Kế hoạch</w:t>
            </w:r>
            <w:bookmarkStart w:id="1" w:name="loai_1_name"/>
            <w:r w:rsidRPr="00DF1EA2">
              <w:rPr>
                <w:sz w:val="24"/>
                <w:szCs w:val="24"/>
                <w:lang w:val="nl-NL"/>
              </w:rPr>
              <w:t xml:space="preserve"> sửa đổi, bổ sung một số điều của thông tư số 20/2015/tt-bkhđt ngày 01 tháng 12 năm 2015 của bộ kế hoạch và đầu tư hướng dẫn về đăng ký doanh nghiệp</w:t>
            </w:r>
            <w:bookmarkEnd w:id="1"/>
            <w:r w:rsidRPr="00DF1EA2">
              <w:rPr>
                <w:sz w:val="24"/>
                <w:szCs w:val="24"/>
                <w:lang w:val="nl-NL"/>
              </w:rPr>
              <w:t>.</w:t>
            </w:r>
          </w:p>
          <w:p w:rsidR="008F18D5" w:rsidRPr="00DF1EA2" w:rsidRDefault="008F18D5" w:rsidP="00613585">
            <w:pPr>
              <w:ind w:right="57"/>
              <w:jc w:val="both"/>
              <w:rPr>
                <w:color w:val="000000" w:themeColor="text1"/>
                <w:sz w:val="24"/>
                <w:szCs w:val="24"/>
                <w:lang w:val="nl-NL"/>
              </w:rPr>
            </w:pP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Mẫu đơn, tờ khai</w:t>
            </w:r>
          </w:p>
        </w:tc>
        <w:tc>
          <w:tcPr>
            <w:tcW w:w="7796" w:type="dxa"/>
          </w:tcPr>
          <w:p w:rsidR="008F18D5" w:rsidRPr="00DF1EA2" w:rsidRDefault="00C14DC4" w:rsidP="00A31D0A">
            <w:pPr>
              <w:rPr>
                <w:rFonts w:eastAsia="Times New Roman"/>
                <w:i/>
                <w:sz w:val="24"/>
                <w:szCs w:val="24"/>
              </w:rPr>
            </w:pPr>
            <w:r w:rsidRPr="00DF1EA2">
              <w:rPr>
                <w:sz w:val="24"/>
                <w:szCs w:val="24"/>
              </w:rPr>
              <w:t xml:space="preserve">Mẫu </w:t>
            </w:r>
            <w:r w:rsidR="00A31D0A" w:rsidRPr="00F04750">
              <w:rPr>
                <w:rFonts w:eastAsia="Times New Roman" w:cs="Times New Roman"/>
                <w:sz w:val="24"/>
                <w:szCs w:val="24"/>
              </w:rPr>
              <w:t xml:space="preserve">Thông báo về việc </w:t>
            </w:r>
            <w:r w:rsidR="00A31D0A">
              <w:rPr>
                <w:rFonts w:eastAsia="Times New Roman" w:cs="Times New Roman"/>
                <w:sz w:val="24"/>
                <w:szCs w:val="24"/>
              </w:rPr>
              <w:t>chấm dứt hoạt động</w:t>
            </w:r>
            <w:r w:rsidR="00A31D0A" w:rsidRPr="00F04750">
              <w:rPr>
                <w:rFonts w:eastAsia="Times New Roman" w:cs="Times New Roman"/>
                <w:sz w:val="24"/>
                <w:szCs w:val="24"/>
              </w:rPr>
              <w:t xml:space="preserve"> kinh doanh</w:t>
            </w:r>
            <w:r w:rsidR="00A31D0A" w:rsidRPr="00DF1EA2">
              <w:rPr>
                <w:color w:val="000000" w:themeColor="text1"/>
                <w:sz w:val="24"/>
                <w:szCs w:val="24"/>
              </w:rPr>
              <w:t xml:space="preserve"> </w:t>
            </w:r>
            <w:r w:rsidR="002064D6" w:rsidRPr="00DF1EA2">
              <w:rPr>
                <w:color w:val="000000" w:themeColor="text1"/>
                <w:sz w:val="24"/>
                <w:szCs w:val="24"/>
              </w:rPr>
              <w:t>theo mẫu tại Phụ lục III</w:t>
            </w:r>
            <w:r w:rsidR="000A228D">
              <w:rPr>
                <w:color w:val="000000" w:themeColor="text1"/>
                <w:sz w:val="24"/>
                <w:szCs w:val="24"/>
              </w:rPr>
              <w:t>-</w:t>
            </w:r>
            <w:r w:rsidR="00A31D0A">
              <w:rPr>
                <w:color w:val="000000" w:themeColor="text1"/>
                <w:sz w:val="24"/>
                <w:szCs w:val="24"/>
              </w:rPr>
              <w:t>6</w:t>
            </w:r>
            <w:r w:rsidR="002064D6" w:rsidRPr="00DF1EA2">
              <w:rPr>
                <w:color w:val="000000" w:themeColor="text1"/>
                <w:sz w:val="24"/>
                <w:szCs w:val="24"/>
              </w:rPr>
              <w:t xml:space="preserve"> </w:t>
            </w:r>
            <w:r w:rsidRPr="00DF1EA2">
              <w:rPr>
                <w:rFonts w:eastAsia="Times New Roman"/>
                <w:i/>
                <w:sz w:val="24"/>
                <w:szCs w:val="24"/>
              </w:rPr>
              <w:t>Thông tư số 0</w:t>
            </w:r>
            <w:r w:rsidR="00F04750">
              <w:rPr>
                <w:rFonts w:eastAsia="Times New Roman"/>
                <w:i/>
                <w:sz w:val="24"/>
                <w:szCs w:val="24"/>
              </w:rPr>
              <w:t>2/2019/TT-BKHĐT ngày 08/01/2019.</w:t>
            </w:r>
          </w:p>
        </w:tc>
      </w:tr>
    </w:tbl>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A228D"/>
    <w:rsid w:val="002064D6"/>
    <w:rsid w:val="0025395D"/>
    <w:rsid w:val="002A6B81"/>
    <w:rsid w:val="00322E95"/>
    <w:rsid w:val="00375B05"/>
    <w:rsid w:val="003D18CD"/>
    <w:rsid w:val="0041722D"/>
    <w:rsid w:val="00507468"/>
    <w:rsid w:val="00613585"/>
    <w:rsid w:val="006E6B72"/>
    <w:rsid w:val="007937DF"/>
    <w:rsid w:val="008F18D5"/>
    <w:rsid w:val="00A31D0A"/>
    <w:rsid w:val="00B205A1"/>
    <w:rsid w:val="00B7589E"/>
    <w:rsid w:val="00BA2364"/>
    <w:rsid w:val="00C14DC4"/>
    <w:rsid w:val="00C57F54"/>
    <w:rsid w:val="00C778E1"/>
    <w:rsid w:val="00C942D1"/>
    <w:rsid w:val="00DE75AD"/>
    <w:rsid w:val="00DF1EA2"/>
    <w:rsid w:val="00F04750"/>
    <w:rsid w:val="00F4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7360-A86C-4E79-8E39-44D2BFA7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7</cp:revision>
  <cp:lastPrinted>2020-03-20T08:11:00Z</cp:lastPrinted>
  <dcterms:created xsi:type="dcterms:W3CDTF">2020-03-19T09:06:00Z</dcterms:created>
  <dcterms:modified xsi:type="dcterms:W3CDTF">2020-03-20T08:11:00Z</dcterms:modified>
</cp:coreProperties>
</file>