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360"/>
      </w:tblGrid>
      <w:tr w:rsidR="00630509" w:rsidRPr="00630509" w:rsidTr="00630509">
        <w:tc>
          <w:tcPr>
            <w:tcW w:w="0" w:type="auto"/>
            <w:shd w:val="clear" w:color="auto" w:fill="FFFFFF"/>
            <w:vAlign w:val="bottom"/>
            <w:hideMark/>
          </w:tcPr>
          <w:p w:rsidR="00630509" w:rsidRPr="00630509" w:rsidRDefault="00630509" w:rsidP="00630509">
            <w:pPr>
              <w:spacing w:after="0" w:line="375" w:lineRule="atLeast"/>
              <w:textAlignment w:val="baseline"/>
              <w:outlineLvl w:val="0"/>
              <w:rPr>
                <w:rFonts w:eastAsia="Times New Roman" w:cs="Times New Roman"/>
                <w:b/>
                <w:bCs/>
                <w:color w:val="000000"/>
                <w:kern w:val="36"/>
                <w:sz w:val="26"/>
                <w:szCs w:val="26"/>
              </w:rPr>
            </w:pPr>
            <w:bookmarkStart w:id="0" w:name="_GoBack"/>
            <w:r w:rsidRPr="00630509">
              <w:rPr>
                <w:rFonts w:eastAsia="Times New Roman" w:cs="Times New Roman"/>
                <w:b/>
                <w:bCs/>
                <w:color w:val="000000"/>
                <w:kern w:val="36"/>
                <w:sz w:val="26"/>
                <w:szCs w:val="26"/>
              </w:rPr>
              <w:t>Thủ tục công nhận lần đầu “Xã đạt chuẩn văn hóa nông thôn mới”</w:t>
            </w:r>
            <w:bookmarkEnd w:id="0"/>
          </w:p>
        </w:tc>
      </w:tr>
      <w:tr w:rsidR="00630509" w:rsidRPr="00630509" w:rsidTr="00630509">
        <w:tc>
          <w:tcPr>
            <w:tcW w:w="0" w:type="auto"/>
            <w:shd w:val="clear" w:color="auto" w:fill="FFFFFF"/>
            <w:vAlign w:val="bottom"/>
            <w:hideMark/>
          </w:tcPr>
          <w:p w:rsidR="00630509" w:rsidRPr="00630509" w:rsidRDefault="00630509" w:rsidP="00630509">
            <w:pPr>
              <w:spacing w:after="150" w:line="240" w:lineRule="auto"/>
              <w:jc w:val="both"/>
              <w:textAlignment w:val="baseline"/>
              <w:rPr>
                <w:rFonts w:eastAsia="Times New Roman" w:cs="Times New Roman"/>
                <w:b/>
                <w:bCs/>
                <w:caps/>
                <w:color w:val="959595"/>
                <w:sz w:val="26"/>
                <w:szCs w:val="26"/>
              </w:rPr>
            </w:pPr>
          </w:p>
        </w:tc>
      </w:tr>
      <w:tr w:rsidR="00630509" w:rsidRPr="00630509" w:rsidTr="00630509">
        <w:tc>
          <w:tcPr>
            <w:tcW w:w="0" w:type="auto"/>
            <w:shd w:val="clear" w:color="auto" w:fill="FFFFFF"/>
            <w:vAlign w:val="bottom"/>
            <w:hideMark/>
          </w:tcPr>
          <w:tbl>
            <w:tblPr>
              <w:tblW w:w="1005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977"/>
              <w:gridCol w:w="8080"/>
            </w:tblGrid>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Tên thủ tục:</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Thủ tục công nhận lần đầu “Xã đạt chuẩn văn hóa nông thôn mới”</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Cơ quan thực hiện:</w:t>
                  </w:r>
                </w:p>
              </w:tc>
              <w:tc>
                <w:tcPr>
                  <w:tcW w:w="8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Phòng Văn hóa Thông tin</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Cơ sở pháp lý:</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Trình tự thực hiện:</w:t>
                  </w:r>
                </w:p>
              </w:tc>
              <w:tc>
                <w:tcPr>
                  <w:tcW w:w="8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1:</w:t>
                  </w:r>
                  <w:r w:rsidRPr="00630509">
                    <w:rPr>
                      <w:rFonts w:eastAsia="Times New Roman" w:cs="Times New Roman"/>
                      <w:color w:val="555555"/>
                      <w:sz w:val="26"/>
                      <w:szCs w:val="26"/>
                    </w:rPr>
                    <w:t>Ban Chỉ đạo Phong trào “Toàn dân đoàn kết xây dựng đời sống văn hóa” huyện tổ chức Lễ phát động xây dựng “Xã đạt chuẩn văn hóa nông thôn mới” trên địa bàn huyện; phổ biến tiêu chuẩn công nhận “Xã đạt chuẩn văn hóa nông thôn mới”; hướng dẫn các xã đăng ký xây dựng “Xã đạt chuẩn văn hóa nông thôn mới”;</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2:</w:t>
                  </w:r>
                  <w:r w:rsidRPr="00630509">
                    <w:rPr>
                      <w:rFonts w:eastAsia="Times New Roman" w:cs="Times New Roman"/>
                      <w:color w:val="555555"/>
                      <w:sz w:val="26"/>
                      <w:szCs w:val="26"/>
                    </w:rPr>
                    <w:t>Trưởng Ban Chỉ đạo Phong trào “Toàn dân đoàn kết xây dựng đời sống văn hóa” xã đăng ký xây dựng “Xã đạt chuẩn văn hóa nông thôn mới” với Ủy ban nhân dân huyện;</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3:</w:t>
                  </w:r>
                  <w:r w:rsidRPr="00630509">
                    <w:rPr>
                      <w:rFonts w:eastAsia="Times New Roman" w:cs="Times New Roman"/>
                      <w:color w:val="555555"/>
                      <w:sz w:val="26"/>
                      <w:szCs w:val="26"/>
                    </w:rPr>
                    <w:t> Ban Chỉ đạo Phong trào “Toàn dân đoàn kết xây dựng đời sống văn hóa” xã  họp thông qua Báo cáo thành tích xây dựng “Xã đạt chuẩn văn hóa nông thôn mới”, gửi Ủy ban nhân dân xã;</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4:</w:t>
                  </w:r>
                  <w:r w:rsidRPr="00630509">
                    <w:rPr>
                      <w:rFonts w:eastAsia="Times New Roman" w:cs="Times New Roman"/>
                      <w:color w:val="555555"/>
                      <w:sz w:val="26"/>
                      <w:szCs w:val="26"/>
                    </w:rPr>
                    <w:t> Chủ tịch Ủy ban nhân dân xã gửi hồ sơ đề nghị Chủ tịch Ủy ban nhân dân huyện công nhận “Xã đạt chuẩn văn hóa nông thôn mới” tại Bộ phận tiếp nhận và trả kết quả của Ủy ban nhân dân huyện, từ thứ Hai đến thứ Sáu và buổi sáng thứ Bảy (buổi sáng từ 07 giờ 30 phút đến 11 giờ 30 phút, buổi chiều từ 13 giờ 00 phút đến 17 giờ 00 phút).</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5:</w:t>
                  </w:r>
                  <w:r w:rsidRPr="00630509">
                    <w:rPr>
                      <w:rFonts w:eastAsia="Times New Roman" w:cs="Times New Roman"/>
                      <w:color w:val="555555"/>
                      <w:sz w:val="26"/>
                      <w:szCs w:val="26"/>
                    </w:rPr>
                    <w:t> Bộ phận tiếp nhận và trả kết quả của Ủy ban nhân dân huyện tiếp nhận hồ sơ, kiểm tra tính hợp lệ và đầy đủ của các giấy tờ có trong hồ sơ:</w:t>
                  </w:r>
                </w:p>
                <w:p w:rsidR="00630509" w:rsidRPr="00630509" w:rsidRDefault="00630509" w:rsidP="00630509">
                  <w:pPr>
                    <w:numPr>
                      <w:ilvl w:val="0"/>
                      <w:numId w:val="1"/>
                    </w:numPr>
                    <w:spacing w:after="0" w:line="240" w:lineRule="auto"/>
                    <w:ind w:left="270"/>
                    <w:textAlignment w:val="baseline"/>
                    <w:rPr>
                      <w:rFonts w:eastAsia="Times New Roman" w:cs="Times New Roman"/>
                      <w:color w:val="555555"/>
                      <w:sz w:val="26"/>
                      <w:szCs w:val="26"/>
                    </w:rPr>
                  </w:pPr>
                  <w:r w:rsidRPr="00630509">
                    <w:rPr>
                      <w:rFonts w:eastAsia="Times New Roman" w:cs="Times New Roman"/>
                      <w:color w:val="555555"/>
                      <w:sz w:val="26"/>
                      <w:szCs w:val="26"/>
                    </w:rPr>
                    <w:t>Trường hợp hồ sơ hợp lệ và đầy đủ theo quy định thì cấp Biên nhận hồ sơ có ghi rõ thời gian tiếp nhận và thời gian hẹn trả kết quả trao cho người nộp;</w:t>
                  </w:r>
                </w:p>
                <w:p w:rsidR="00630509" w:rsidRPr="00630509" w:rsidRDefault="00630509" w:rsidP="00630509">
                  <w:pPr>
                    <w:numPr>
                      <w:ilvl w:val="0"/>
                      <w:numId w:val="1"/>
                    </w:numPr>
                    <w:spacing w:after="0" w:line="240" w:lineRule="auto"/>
                    <w:ind w:left="270"/>
                    <w:textAlignment w:val="baseline"/>
                    <w:rPr>
                      <w:rFonts w:eastAsia="Times New Roman" w:cs="Times New Roman"/>
                      <w:color w:val="555555"/>
                      <w:sz w:val="26"/>
                      <w:szCs w:val="26"/>
                    </w:rPr>
                  </w:pPr>
                  <w:r w:rsidRPr="00630509">
                    <w:rPr>
                      <w:rFonts w:eastAsia="Times New Roman" w:cs="Times New Roman"/>
                      <w:color w:val="555555"/>
                      <w:sz w:val="26"/>
                      <w:szCs w:val="26"/>
                    </w:rPr>
                    <w:t>Trường hợp hồ sơ chưa đầy đủ hoặc chưa hợp lệ, công chức được phân công tiếp nhận hồ sơ hướng dẫn bằng văn bản cho người nộp hồ sơ bổ sung và hoàn thiện hồ sơ theo quy định.</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6:</w:t>
                  </w:r>
                  <w:r w:rsidRPr="00630509">
                    <w:rPr>
                      <w:rFonts w:eastAsia="Times New Roman" w:cs="Times New Roman"/>
                      <w:color w:val="555555"/>
                      <w:sz w:val="26"/>
                      <w:szCs w:val="26"/>
                    </w:rPr>
                    <w:t> Ban Chỉ đạo Phong trào “Toàn dân đoàn kết xây dựng đời sống văn hóa” huyện kiểm tra, đánh giá kết quả thực hiện tiêu chuẩn công nhận “Xã đạt chuẩn văn hóa nông thôn mới” (có biên bản kiểm tra).</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7:</w:t>
                  </w:r>
                  <w:r w:rsidRPr="00630509">
                    <w:rPr>
                      <w:rFonts w:eastAsia="Times New Roman" w:cs="Times New Roman"/>
                      <w:color w:val="555555"/>
                      <w:sz w:val="26"/>
                      <w:szCs w:val="26"/>
                    </w:rPr>
                    <w:t> Phòng Văn hóa và Thông tin huyện phối hợp với Hội đồng thi đua, khen thưởng huyện, trình Chủ tịch Ủy ban nhân dân huyện ra quyết định công nhận và cấp Giấy công nhận “Xã đạt chuẩn văn hóa nông thôn mới”.</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8:</w:t>
                  </w:r>
                  <w:r w:rsidRPr="00630509">
                    <w:rPr>
                      <w:rFonts w:eastAsia="Times New Roman" w:cs="Times New Roman"/>
                      <w:color w:val="555555"/>
                      <w:sz w:val="26"/>
                      <w:szCs w:val="26"/>
                    </w:rPr>
                    <w:t xml:space="preserve"> Căn cứ hồ sơ đề nghị và biên bản kiểm tra, đánh giá kết quả thực hiện tiêu chuẩn “Xã đạt chuẩn văn hóa nông thôn mới” của Ban Chỉ đạo huyện, Chủ tịch Ủy ban nhân dân huyện ra quyết định công nhận “Xã đạt </w:t>
                  </w:r>
                  <w:r w:rsidRPr="00630509">
                    <w:rPr>
                      <w:rFonts w:eastAsia="Times New Roman" w:cs="Times New Roman"/>
                      <w:color w:val="555555"/>
                      <w:sz w:val="26"/>
                      <w:szCs w:val="26"/>
                    </w:rPr>
                    <w:lastRenderedPageBreak/>
                    <w:t>chuẩn văn hóa nông thôn mới”, kèm theo Giấy công nhận; trường hợp không công nhận, phải có văn bản trả lời và nêu rõ lý do chưa công nhận.</w:t>
                  </w:r>
                </w:p>
                <w:p w:rsidR="00630509" w:rsidRPr="00630509" w:rsidRDefault="00630509" w:rsidP="00630509">
                  <w:pPr>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-Bước 9:</w:t>
                  </w:r>
                  <w:r w:rsidRPr="00630509">
                    <w:rPr>
                      <w:rFonts w:eastAsia="Times New Roman" w:cs="Times New Roman"/>
                      <w:color w:val="555555"/>
                      <w:sz w:val="26"/>
                      <w:szCs w:val="26"/>
                    </w:rPr>
                    <w:t>Ủy ban nhân dân xã đề nghị căn cứ ngày hẹn trên Biên nhận đến nhận kết quả giải quyết tại Bộ phận Tiếp nhận và trả kết quả của Ủy ban nhân dân huyện, từ thứ Hai đến thứ Sáu và buổi sáng thứ Bảy (buổi sáng từ 07 giờ 30 phút đến  11 giờ 30 phút, buổi chiều từ 13 giờ 00 phút đến 17 giờ 00 phút).</w:t>
                  </w:r>
                </w:p>
                <w:p w:rsidR="00630509" w:rsidRPr="00630509" w:rsidRDefault="00630509" w:rsidP="00630509">
                  <w:pPr>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*Yêu cầu:</w:t>
                  </w:r>
                </w:p>
                <w:p w:rsidR="00630509" w:rsidRPr="00630509" w:rsidRDefault="00630509" w:rsidP="00630509">
                  <w:pPr>
                    <w:shd w:val="clear" w:color="auto" w:fill="F2F2F2"/>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 Điều kiện 1:</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1. Giúp nhau phát triển kinh tế</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a) Thực hiện tốt cuộc vận động “Ngày vì người nghèo”, góp phần xóa hộ đói; giảm hộ nghèo trong xã xuống dưới mức bình quân chung của tỉnh/thành phố;</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b) Có 80% trở lên hộ gia đình (làm nông nghiệp) trong xã được tuyên truyền, phổ biến khoa học-kỹ thuật về lĩnh vực sản xuất nông nghiệp;</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c) Có 70% trở lên hộ gia đình tham gia các hình thức hợp tác phát triển kinh tế;</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d) Có nhiều hoạt động phát triển sản xuất kinh doanh, thu hút lao động việc làm, nâng cao thu nhập của người dân.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2. Nâng cao chất lượng xây dựng gia đình văn hóa; thôn, làng, ấp, bản văn hóa và tương đương</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a) Có 60% trở lên gia đình được công nhận “Gia đình văn hóa” 3 năm trở lên;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b) Có 70% trở lên hộ gia đình cải tạo được vườn tạp, không để đất hoang, khuôn viên nhà ở xanh, sạch, đẹp;</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c) Có 15% trở lên hộ gia đình phát triển kinh tế, nâng cao thu nhập từ sản xuất nông nghiệp hàng hóa và dịch vụ nông thôn;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d) Có từ 50% thôn, làng, ấp, bản trở lên được công nhận và giữ vững danh hiệu “Thôn văn hóa”, “Làng văn hóa”, “Ấp văn hóa”, “Bản văn hóa” và tương đương liên tục từ 5 năm trở lên;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đ) Có 50% trở lên thôn, làng, ấp, bản văn hóa vận động được nhân dân đóng góp xây dựng và nâng cấp cơ sở vật chất hạ tầng kinh tế, văn hóa, xã hội ở cộng đồng.</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3. Xây dựng thiết chế và phong trào văn hóa, thể thao cơ sở</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 xml:space="preserve">a) Trung tâm Văn hóa-Thể thao xã có cơ sở vật chất, trang thiết bị bảo </w:t>
                  </w:r>
                  <w:r w:rsidRPr="00630509">
                    <w:rPr>
                      <w:rFonts w:eastAsia="Times New Roman" w:cs="Times New Roman"/>
                      <w:color w:val="555555"/>
                      <w:sz w:val="26"/>
                      <w:szCs w:val="26"/>
                    </w:rPr>
                    <w:lastRenderedPageBreak/>
                    <w:t>đảm; ổn định về tổ chức; hoạt động thường xuyên, hiệu quả; từng bước đạt chuẩn theo quy định của Bộ Văn hóa, Thể thao và Du lịch;</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b) 100% thôn (làng, ấp, bản và tương đương) có Nhà Văn hóa-Khu thể thao; trong đó 50% Nhà Văn hóa-Khu thể thao đạt chuẩn theo quy định của Bộ Văn hóa, Thể thao và Du lịch;</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d) Di tích lịch sử-văn hóa, cảnh quan thiên nhiên được bảo vệ; các hình thức sinh hoạt văn hóa, thể thao truyền thống và thuần phong mỹ tục của địa phương được bảo tồn.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4. Xây dựng nếp sống văn minh, môi trường văn hóa nông thôn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a) 75% trở lên hộ gia đình thực hiện tốt các quy định về nếp sống văn minh trong việc cưới, việc tang và lễ hội theo các quy định của Bộ Văn hóa, Thể thao và Du lịch;</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b) Xây dựng và thực hiện tốt nếp sống văn minh nơi công cộng, trong các sinh hoạt tập thể, cộng đồng; không có tệ nạn xã hội phát sinh, giảm mạnh các tệ nạn xã hội hiện có;</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5. Chấp hành chủ trương, đường lối của Đảng, chính sách, pháp luật của Nhà nước và quy định của địa phương</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a) 90% trở lên người dân được phổ biến và nghiêm chỉnh thực hiện chủ trương, đường lối của Đảng, chính sách, pháp luật của Nhà nước và các quy định của địa phương;</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b) 80% trở lên hộ gia đình nông dân tham gia thực hiện cuộc vận động xây dựng nông thôn mới; tham gia xây dựng cơ sở vật chất hạ tầng kinh tế-xã hội nông thôn mới;</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 xml:space="preserve">c) 100% thôn (làng, ấp, bản và tương đương) xây dựng và thực hiện hiệu </w:t>
                  </w:r>
                  <w:r w:rsidRPr="00630509">
                    <w:rPr>
                      <w:rFonts w:eastAsia="Times New Roman" w:cs="Times New Roman"/>
                      <w:color w:val="555555"/>
                      <w:sz w:val="26"/>
                      <w:szCs w:val="26"/>
                    </w:rPr>
                    <w:lastRenderedPageBreak/>
                    <w:t>quả quy ước cộng đồng, quy chế dân chủ ở cơ sở; không có khiếu kiện đông người, trái phát luật;</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d) Các cơ sở kinh doanh dịch vụ văn hóa, thông tin, thể thao và du lịch được xây dựng theo quy hoạch và quản lý theo pháp luật; không tàng trữ và lưu hành văn hóa phẩm có nội dung độc hại.</w:t>
                  </w:r>
                </w:p>
                <w:p w:rsidR="00630509" w:rsidRPr="00630509" w:rsidRDefault="00630509" w:rsidP="00630509">
                  <w:pPr>
                    <w:shd w:val="clear" w:color="auto" w:fill="F2F2F2"/>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 Điều kiện 2:</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Các tiêu chí bổ sung theo quy định của Ủy ban nhân dân tỉnh, thành phố trực thuộc Trung ương (nếu có).</w:t>
                  </w:r>
                </w:p>
                <w:p w:rsidR="00630509" w:rsidRPr="00630509" w:rsidRDefault="00630509" w:rsidP="00630509">
                  <w:pPr>
                    <w:shd w:val="clear" w:color="auto" w:fill="F2F2F2"/>
                    <w:spacing w:after="0" w:line="240" w:lineRule="auto"/>
                    <w:jc w:val="both"/>
                    <w:textAlignment w:val="baseline"/>
                    <w:rPr>
                      <w:rFonts w:eastAsia="Times New Roman" w:cs="Times New Roman"/>
                      <w:color w:val="555555"/>
                      <w:sz w:val="26"/>
                      <w:szCs w:val="26"/>
                    </w:rPr>
                  </w:pPr>
                  <w:r w:rsidRPr="00630509">
                    <w:rPr>
                      <w:rFonts w:eastAsia="Times New Roman" w:cs="Times New Roman"/>
                      <w:b/>
                      <w:bCs/>
                      <w:color w:val="555555"/>
                      <w:sz w:val="26"/>
                      <w:szCs w:val="26"/>
                      <w:bdr w:val="none" w:sz="0" w:space="0" w:color="auto" w:frame="1"/>
                    </w:rPr>
                    <w:t>- Điều kiện 3:</w:t>
                  </w:r>
                </w:p>
                <w:p w:rsidR="00630509" w:rsidRPr="00630509" w:rsidRDefault="00630509" w:rsidP="00630509">
                  <w:pPr>
                    <w:shd w:val="clear" w:color="auto" w:fill="F2F2F2"/>
                    <w:spacing w:after="150" w:line="240" w:lineRule="auto"/>
                    <w:jc w:val="both"/>
                    <w:textAlignment w:val="baseline"/>
                    <w:rPr>
                      <w:rFonts w:eastAsia="Times New Roman" w:cs="Times New Roman"/>
                      <w:color w:val="555555"/>
                      <w:sz w:val="26"/>
                      <w:szCs w:val="26"/>
                    </w:rPr>
                  </w:pPr>
                  <w:r w:rsidRPr="00630509">
                    <w:rPr>
                      <w:rFonts w:eastAsia="Times New Roman" w:cs="Times New Roman"/>
                      <w:color w:val="555555"/>
                      <w:sz w:val="26"/>
                      <w:szCs w:val="26"/>
                    </w:rPr>
                    <w:t>Thời gian đăng ký xây dựng “Xã đạt chuẩn văn hóa nông thôn mới” từ 02 năm trở lên.</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lastRenderedPageBreak/>
                    <w:t>Cách thức thực hiện:</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Nộp trực tiếp tại Bộ phận một cửa huyện</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Thành phần và số lượng:</w:t>
                  </w:r>
                </w:p>
              </w:tc>
              <w:tc>
                <w:tcPr>
                  <w:tcW w:w="8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 Báo cáo thành tích 02 năm xây dựng “Xã đạt chuẩn văn hóa nông thôn mới” của Trưởng Ban Chỉ đạo Phong trào “Toàn dân đoàn kết xây dựng đời sống văn hóa” xã, có xác nhận của Chủ tịch Ủy ban nhân dân xã; + Công văn đề nghị của Chủ tịch Ủy ban nhân dân xã.</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Thời gian giải quyết:</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05 ngày làm việc kể từ ngày nhận đủ hồ sơ hợp lệ.</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Đối tượng thực hiện:</w:t>
                  </w:r>
                </w:p>
              </w:tc>
              <w:tc>
                <w:tcPr>
                  <w:tcW w:w="8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Ủy ban nhân dân cấp xã</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Kết quả:</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Quyết định hành chính và Giấy công nhận hoặc văn bản trả lời, có nêu rõ lý do chưa công nhận.</w:t>
                  </w: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Yêu cầu và điều kiện:</w:t>
                  </w:r>
                </w:p>
              </w:tc>
              <w:tc>
                <w:tcPr>
                  <w:tcW w:w="8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p>
              </w:tc>
            </w:tr>
            <w:tr w:rsidR="00630509" w:rsidRPr="00630509" w:rsidTr="00630509">
              <w:tc>
                <w:tcPr>
                  <w:tcW w:w="1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b/>
                      <w:bCs/>
                      <w:sz w:val="26"/>
                      <w:szCs w:val="26"/>
                    </w:rPr>
                  </w:pPr>
                  <w:r w:rsidRPr="00630509">
                    <w:rPr>
                      <w:rFonts w:eastAsia="Times New Roman" w:cs="Times New Roman"/>
                      <w:b/>
                      <w:bCs/>
                      <w:sz w:val="26"/>
                      <w:szCs w:val="26"/>
                    </w:rPr>
                    <w:t>Lệ phí:</w:t>
                  </w:r>
                </w:p>
              </w:tc>
              <w:tc>
                <w:tcPr>
                  <w:tcW w:w="80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0509" w:rsidRPr="00630509" w:rsidRDefault="00630509" w:rsidP="00630509">
                  <w:pPr>
                    <w:spacing w:after="0" w:line="240" w:lineRule="auto"/>
                    <w:rPr>
                      <w:rFonts w:eastAsia="Times New Roman" w:cs="Times New Roman"/>
                      <w:sz w:val="26"/>
                      <w:szCs w:val="26"/>
                    </w:rPr>
                  </w:pPr>
                  <w:r w:rsidRPr="00630509">
                    <w:rPr>
                      <w:rFonts w:eastAsia="Times New Roman" w:cs="Times New Roman"/>
                      <w:sz w:val="26"/>
                      <w:szCs w:val="26"/>
                    </w:rPr>
                    <w:t>Không</w:t>
                  </w:r>
                </w:p>
              </w:tc>
            </w:tr>
          </w:tbl>
          <w:p w:rsidR="00630509" w:rsidRPr="00630509" w:rsidRDefault="00630509" w:rsidP="00630509">
            <w:pPr>
              <w:spacing w:after="0" w:line="240" w:lineRule="auto"/>
              <w:jc w:val="both"/>
              <w:rPr>
                <w:rFonts w:eastAsia="Times New Roman" w:cs="Times New Roman"/>
                <w:color w:val="000000"/>
                <w:sz w:val="26"/>
                <w:szCs w:val="26"/>
              </w:rPr>
            </w:pPr>
          </w:p>
        </w:tc>
      </w:tr>
    </w:tbl>
    <w:p w:rsidR="003E268A" w:rsidRPr="00630509" w:rsidRDefault="003E268A">
      <w:pPr>
        <w:rPr>
          <w:rFonts w:cs="Times New Roman"/>
          <w:sz w:val="26"/>
          <w:szCs w:val="26"/>
        </w:rPr>
      </w:pPr>
    </w:p>
    <w:sectPr w:rsidR="003E268A" w:rsidRPr="0063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68B3"/>
    <w:multiLevelType w:val="multilevel"/>
    <w:tmpl w:val="D7569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09"/>
    <w:rsid w:val="003E268A"/>
    <w:rsid w:val="0063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5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09"/>
    <w:rPr>
      <w:rFonts w:eastAsia="Times New Roman" w:cs="Times New Roman"/>
      <w:b/>
      <w:bCs/>
      <w:kern w:val="36"/>
      <w:sz w:val="48"/>
      <w:szCs w:val="48"/>
    </w:rPr>
  </w:style>
  <w:style w:type="paragraph" w:styleId="NormalWeb">
    <w:name w:val="Normal (Web)"/>
    <w:basedOn w:val="Normal"/>
    <w:uiPriority w:val="99"/>
    <w:unhideWhenUsed/>
    <w:rsid w:val="0063050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0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5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09"/>
    <w:rPr>
      <w:rFonts w:eastAsia="Times New Roman" w:cs="Times New Roman"/>
      <w:b/>
      <w:bCs/>
      <w:kern w:val="36"/>
      <w:sz w:val="48"/>
      <w:szCs w:val="48"/>
    </w:rPr>
  </w:style>
  <w:style w:type="paragraph" w:styleId="NormalWeb">
    <w:name w:val="Normal (Web)"/>
    <w:basedOn w:val="Normal"/>
    <w:uiPriority w:val="99"/>
    <w:unhideWhenUsed/>
    <w:rsid w:val="0063050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0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486">
      <w:bodyDiv w:val="1"/>
      <w:marLeft w:val="0"/>
      <w:marRight w:val="0"/>
      <w:marTop w:val="0"/>
      <w:marBottom w:val="0"/>
      <w:divBdr>
        <w:top w:val="none" w:sz="0" w:space="0" w:color="auto"/>
        <w:left w:val="none" w:sz="0" w:space="0" w:color="auto"/>
        <w:bottom w:val="none" w:sz="0" w:space="0" w:color="auto"/>
        <w:right w:val="none" w:sz="0" w:space="0" w:color="auto"/>
      </w:divBdr>
      <w:divsChild>
        <w:div w:id="2028171557">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2020-02-28T02:03:00Z</dcterms:created>
  <dcterms:modified xsi:type="dcterms:W3CDTF">2020-02-28T02:04:00Z</dcterms:modified>
</cp:coreProperties>
</file>