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36" w:rsidRPr="00553B36" w:rsidRDefault="00553B36" w:rsidP="00553B36">
      <w:pPr>
        <w:shd w:val="clear" w:color="auto" w:fill="FFFFFF"/>
        <w:spacing w:after="225" w:line="240" w:lineRule="auto"/>
        <w:outlineLvl w:val="0"/>
        <w:rPr>
          <w:rFonts w:ascii="Helvetica" w:eastAsia="Times New Roman" w:hAnsi="Helvetica" w:cs="Times New Roman"/>
          <w:b/>
          <w:bCs/>
          <w:color w:val="333333"/>
          <w:kern w:val="36"/>
          <w:sz w:val="33"/>
          <w:szCs w:val="33"/>
        </w:rPr>
      </w:pPr>
      <w:bookmarkStart w:id="0" w:name="_GoBack"/>
      <w:r w:rsidRPr="00553B36">
        <w:rPr>
          <w:rFonts w:ascii="Helvetica" w:eastAsia="Times New Roman" w:hAnsi="Helvetica" w:cs="Times New Roman"/>
          <w:b/>
          <w:bCs/>
          <w:color w:val="333333"/>
          <w:kern w:val="36"/>
          <w:sz w:val="33"/>
          <w:szCs w:val="33"/>
        </w:rPr>
        <w:t>Thủ tục công nhận ban vận động thành lập hội</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1" w:name="bookmark137"/>
      <w:bookmarkEnd w:id="0"/>
      <w:r w:rsidRPr="00553B36">
        <w:rPr>
          <w:rFonts w:eastAsia="Times New Roman" w:cs="Times New Roman"/>
          <w:b/>
          <w:bCs/>
          <w:color w:val="1A3F5E"/>
          <w:sz w:val="30"/>
          <w:szCs w:val="30"/>
        </w:rPr>
        <w:t>a) Trình tự thực hiện</w:t>
      </w:r>
      <w:bookmarkEnd w:id="1"/>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Bước 1: Những người sáng lập gửi hồ sơ đề nghị công nhận ban vận động thành lập hội có phạm vi hoạt động trong tỉnh đến Sở quản lý nhà nước về ngành, lĩnh vực chính mà hội dự kiến hoạt động.</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Bước 2: Cán bộ tiếp nhận hồ sơ xem xét hồ sơ và đề nghị bổ sung trong trường hợp hồ sơ chưa đầy đủ và hợp pháp.</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Bước 3: Kể từ ngày nhận hồ sơ đầy đủ và hợp pháp, cán bộ tiếp nhận hồ sơ nghiên cứu, thẩm định hồ sơ và thực hiện quy trình lấy ý kiến các cơ quan có liên quan, tổng hơp các ý kiến góp ý, đề nghị bổ sung hồ sơ (nếu có).</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Bước 4: Trong thời hạn 30 ngày kể từ ngày nhận hồ sơ đầy đủ và hợp pháp, Sở quản lý nhà nước về ngành, lĩnh vực chính mà hội dự kiến hoạt động xem xét, quyết định công nhận ban vận động thành lập hội. Trường hợp không đồng ý phải có văn bản trả lời và nêu rõ lý do.</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b/>
          <w:bCs/>
          <w:color w:val="333333"/>
          <w:sz w:val="30"/>
          <w:szCs w:val="30"/>
        </w:rPr>
        <w:t>b) Cách thức thực hiện</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Nộp hồ sơ trực tiếp tại Sở quản lý nhà nước về ngành, lĩnh vực chính mà hội dự kiến hoạt động hoặc qua đường bưu điện. Hồ sơ phải có xác nhận văn bản đến của cơ quan có thẩm quyền, nếu gửi qua đường bưu điện, thời gian được tính từ ngày đến trên phong bì.</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b/>
          <w:bCs/>
          <w:color w:val="333333"/>
          <w:sz w:val="30"/>
          <w:szCs w:val="30"/>
        </w:rPr>
        <w:t>c) Thành phần, số lượng hồ sơ</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b/>
          <w:bCs/>
          <w:color w:val="333333"/>
          <w:sz w:val="30"/>
          <w:szCs w:val="30"/>
        </w:rPr>
        <w:t>* </w:t>
      </w:r>
      <w:r w:rsidRPr="00553B36">
        <w:rPr>
          <w:rFonts w:eastAsia="Times New Roman" w:cs="Times New Roman"/>
          <w:color w:val="333333"/>
          <w:sz w:val="30"/>
          <w:szCs w:val="30"/>
        </w:rPr>
        <w:t>Thành phần hồ sơ</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Đơn đề nghị công nhận ban vận động thành lập hội (theo mẫu);</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Danh sách và trích ngang của những người dự kiến trong ban vận động thành lập hội.</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b/>
          <w:bCs/>
          <w:color w:val="333333"/>
          <w:sz w:val="30"/>
          <w:szCs w:val="30"/>
        </w:rPr>
        <w:t>* </w:t>
      </w:r>
      <w:r w:rsidRPr="00553B36">
        <w:rPr>
          <w:rFonts w:eastAsia="Times New Roman" w:cs="Times New Roman"/>
          <w:color w:val="333333"/>
          <w:sz w:val="30"/>
          <w:szCs w:val="30"/>
        </w:rPr>
        <w:t>Số lượng hồ sơ: 02 bản chính.</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b/>
          <w:bCs/>
          <w:color w:val="333333"/>
          <w:sz w:val="30"/>
          <w:szCs w:val="30"/>
        </w:rPr>
        <w:t>d) Thời hạn giải quyết: </w:t>
      </w:r>
      <w:r w:rsidRPr="00553B36">
        <w:rPr>
          <w:rFonts w:eastAsia="Times New Roman" w:cs="Times New Roman"/>
          <w:color w:val="333333"/>
          <w:sz w:val="30"/>
          <w:szCs w:val="30"/>
        </w:rPr>
        <w:t>30 ngày kể từ ngày Sở quản lý nhà nước về ngành, lĩnh vực chính mà hội dự kiến hoạt động nhận hồ sơ đầy đủ và hợp pháp.</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2" w:name="bookmark138"/>
      <w:r w:rsidRPr="00553B36">
        <w:rPr>
          <w:rFonts w:eastAsia="Times New Roman" w:cs="Times New Roman"/>
          <w:b/>
          <w:bCs/>
          <w:color w:val="1A3F5E"/>
          <w:sz w:val="30"/>
          <w:szCs w:val="30"/>
        </w:rPr>
        <w:t>e) Đối tượng thực hiện</w:t>
      </w:r>
      <w:bookmarkEnd w:id="2"/>
      <w:r w:rsidRPr="00553B36">
        <w:rPr>
          <w:rFonts w:eastAsia="Times New Roman" w:cs="Times New Roman"/>
          <w:b/>
          <w:bCs/>
          <w:color w:val="333333"/>
          <w:sz w:val="30"/>
          <w:szCs w:val="30"/>
        </w:rPr>
        <w:t>:</w:t>
      </w:r>
      <w:r w:rsidRPr="00553B36">
        <w:rPr>
          <w:rFonts w:eastAsia="Times New Roman" w:cs="Times New Roman"/>
          <w:color w:val="333333"/>
          <w:sz w:val="30"/>
          <w:szCs w:val="30"/>
        </w:rPr>
        <w:t> cá nhân, tổ chức sáng lập hội có phạm vi hoạt động trong tỉnh.</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3" w:name="bookmark139"/>
      <w:r w:rsidRPr="00553B36">
        <w:rPr>
          <w:rFonts w:eastAsia="Times New Roman" w:cs="Times New Roman"/>
          <w:b/>
          <w:bCs/>
          <w:color w:val="1A3F5E"/>
          <w:sz w:val="30"/>
          <w:szCs w:val="30"/>
        </w:rPr>
        <w:t>g) Cơ quan thực hiện</w:t>
      </w:r>
      <w:bookmarkEnd w:id="3"/>
      <w:r w:rsidRPr="00553B36">
        <w:rPr>
          <w:rFonts w:eastAsia="Times New Roman" w:cs="Times New Roman"/>
          <w:b/>
          <w:bCs/>
          <w:color w:val="333333"/>
          <w:sz w:val="30"/>
          <w:szCs w:val="30"/>
        </w:rPr>
        <w:t>: </w:t>
      </w:r>
      <w:r w:rsidRPr="00553B36">
        <w:rPr>
          <w:rFonts w:eastAsia="Times New Roman" w:cs="Times New Roman"/>
          <w:color w:val="333333"/>
          <w:sz w:val="30"/>
          <w:szCs w:val="30"/>
        </w:rPr>
        <w:t>Sở quản lý nhà nước về ngành, lĩnh vực chính mà hội dự kiến hoạt động.</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4" w:name="bookmark140"/>
      <w:r w:rsidRPr="00553B36">
        <w:rPr>
          <w:rFonts w:eastAsia="Times New Roman" w:cs="Times New Roman"/>
          <w:b/>
          <w:bCs/>
          <w:color w:val="1A3F5E"/>
          <w:sz w:val="30"/>
          <w:szCs w:val="30"/>
        </w:rPr>
        <w:lastRenderedPageBreak/>
        <w:t>h) Kết quả thực hiện</w:t>
      </w:r>
      <w:bookmarkEnd w:id="4"/>
      <w:r w:rsidRPr="00553B36">
        <w:rPr>
          <w:rFonts w:eastAsia="Times New Roman" w:cs="Times New Roman"/>
          <w:b/>
          <w:bCs/>
          <w:color w:val="333333"/>
          <w:sz w:val="30"/>
          <w:szCs w:val="30"/>
        </w:rPr>
        <w:t>:</w:t>
      </w:r>
      <w:r w:rsidRPr="00553B36">
        <w:rPr>
          <w:rFonts w:eastAsia="Times New Roman" w:cs="Times New Roman"/>
          <w:color w:val="333333"/>
          <w:sz w:val="30"/>
          <w:szCs w:val="30"/>
        </w:rPr>
        <w:t> Quyết định công nhận ban vận động thành lập hội.</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5" w:name="bookmark141"/>
      <w:r w:rsidRPr="00553B36">
        <w:rPr>
          <w:rFonts w:eastAsia="Times New Roman" w:cs="Times New Roman"/>
          <w:b/>
          <w:bCs/>
          <w:color w:val="1A3F5E"/>
          <w:sz w:val="30"/>
          <w:szCs w:val="30"/>
        </w:rPr>
        <w:t>i) Lệ phí</w:t>
      </w:r>
      <w:bookmarkEnd w:id="5"/>
      <w:r w:rsidRPr="00553B36">
        <w:rPr>
          <w:rFonts w:eastAsia="Times New Roman" w:cs="Times New Roman"/>
          <w:b/>
          <w:bCs/>
          <w:color w:val="333333"/>
          <w:sz w:val="30"/>
          <w:szCs w:val="30"/>
        </w:rPr>
        <w:t>: </w:t>
      </w:r>
      <w:r w:rsidRPr="00553B36">
        <w:rPr>
          <w:rFonts w:eastAsia="Times New Roman" w:cs="Times New Roman"/>
          <w:color w:val="333333"/>
          <w:sz w:val="30"/>
          <w:szCs w:val="30"/>
        </w:rPr>
        <w:t>Không có.</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6" w:name="bookmark142"/>
      <w:r w:rsidRPr="00553B36">
        <w:rPr>
          <w:rFonts w:eastAsia="Times New Roman" w:cs="Times New Roman"/>
          <w:b/>
          <w:bCs/>
          <w:color w:val="1A3F5E"/>
          <w:sz w:val="30"/>
          <w:szCs w:val="30"/>
        </w:rPr>
        <w:t>k)Tên mẫu đơn, mẫu tờ khai</w:t>
      </w:r>
      <w:bookmarkEnd w:id="6"/>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hyperlink r:id="rId6" w:history="1">
        <w:r w:rsidRPr="00553B36">
          <w:rPr>
            <w:rFonts w:eastAsia="Times New Roman" w:cs="Times New Roman"/>
            <w:color w:val="0000FF"/>
            <w:sz w:val="30"/>
            <w:szCs w:val="30"/>
          </w:rPr>
          <w:t>- Đơn đề nghị công nhận ban vận động thành lập hội (theo Mẫu 3 Phụ lục I Thông tư số 03/2013/TT-BNV).</w:t>
        </w:r>
      </w:hyperlink>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7" w:name="bookmark143"/>
      <w:r w:rsidRPr="00553B36">
        <w:rPr>
          <w:rFonts w:eastAsia="Times New Roman" w:cs="Times New Roman"/>
          <w:b/>
          <w:bCs/>
          <w:color w:val="1A3F5E"/>
          <w:sz w:val="30"/>
          <w:szCs w:val="30"/>
        </w:rPr>
        <w:t>l) Yêu cầu, điều kiện thực hiện</w:t>
      </w:r>
      <w:bookmarkEnd w:id="7"/>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Sở quản lý nhà nước về ngành, lĩnh vực chính mà hội dự kiến hoạt động quyết định công nhận ban vận động thành lập hội có phạm vi hoạt động trong tỉnh.</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Người đứng đầu ban vận động thành lập hội là công dân Việt Nam, sống thường trú tại Việt Nam có năng lực hành vi dân sự đầy đủ, có sức khỏe và có uy tín trong lĩnh vực hội dự kiến hoạt động.</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Đối với hội có phạm vi hoạt động trong tỉnh, ban vận động thành lập hội phải có ít nhất năm thành viên.</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Hiệp hội của các tổ chức kinh tế có phạm vi hoạt động trong tỉnh có ít nhất ba thành viên đại diện cho các tổ chức kinh tế trong tỉnh.</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r w:rsidRPr="00553B36">
        <w:rPr>
          <w:rFonts w:eastAsia="Times New Roman" w:cs="Times New Roman"/>
          <w:color w:val="333333"/>
          <w:sz w:val="30"/>
          <w:szCs w:val="30"/>
        </w:rPr>
        <w:t>- Ban vận động thành lập hội tự giải thể khi đại hội bầu ra ban lãnh đạo của hội.</w:t>
      </w:r>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bookmarkStart w:id="8" w:name="bookmark144"/>
      <w:r w:rsidRPr="00553B36">
        <w:rPr>
          <w:rFonts w:eastAsia="Times New Roman" w:cs="Times New Roman"/>
          <w:b/>
          <w:bCs/>
          <w:color w:val="1A3F5E"/>
          <w:sz w:val="30"/>
          <w:szCs w:val="30"/>
        </w:rPr>
        <w:t>m) Căn cứ pháp lý</w:t>
      </w:r>
      <w:bookmarkEnd w:id="8"/>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hyperlink r:id="rId7" w:history="1">
        <w:r w:rsidRPr="00553B36">
          <w:rPr>
            <w:rFonts w:eastAsia="Times New Roman" w:cs="Times New Roman"/>
            <w:color w:val="0000FF"/>
            <w:sz w:val="30"/>
            <w:szCs w:val="30"/>
          </w:rPr>
          <w:t>- Nghị định số 45/2010/NĐ-CP ngày 21 tháng 4 năm 2010 của Chính phủ quy định về tổ chức, hoạt động và quản lý hội;</w:t>
        </w:r>
      </w:hyperlink>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hyperlink r:id="rId8" w:history="1">
        <w:r w:rsidRPr="00553B36">
          <w:rPr>
            <w:rFonts w:eastAsia="Times New Roman" w:cs="Times New Roman"/>
            <w:color w:val="0000FF"/>
            <w:sz w:val="30"/>
            <w:szCs w:val="30"/>
          </w:rPr>
          <w:t>- Nghị định số 33/2012/NĐ-CP ngày 13 tháng 4 năm 2012 của Chính phủ về sửa đổi, bổ sung một số điều của Nghị định số 45/2010/NĐ-CP ngày 21 tháng 4 năm 2010 của Chính phủ quy định vê tổ chức, hoạt động và quản lý hội;</w:t>
        </w:r>
      </w:hyperlink>
    </w:p>
    <w:p w:rsidR="00553B36" w:rsidRPr="00553B36" w:rsidRDefault="00553B36" w:rsidP="00553B36">
      <w:pPr>
        <w:shd w:val="clear" w:color="auto" w:fill="FFFFFF"/>
        <w:spacing w:after="0" w:line="408" w:lineRule="atLeast"/>
        <w:jc w:val="both"/>
        <w:rPr>
          <w:rFonts w:ascii="Helvetica" w:eastAsia="Times New Roman" w:hAnsi="Helvetica" w:cs="Times New Roman"/>
          <w:color w:val="333333"/>
          <w:sz w:val="20"/>
          <w:szCs w:val="20"/>
        </w:rPr>
      </w:pPr>
      <w:hyperlink r:id="rId9" w:history="1">
        <w:r w:rsidRPr="00553B36">
          <w:rPr>
            <w:rFonts w:eastAsia="Times New Roman" w:cs="Times New Roman"/>
            <w:color w:val="0000FF"/>
            <w:sz w:val="30"/>
            <w:szCs w:val="30"/>
          </w:rPr>
          <w:t>-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ngàỵ 13 tháng 4 năm 2012 của Chính phủ sửa đổi, bổ sung một số điều của Nghị định số 45/2010/NĐ-CP;</w:t>
        </w:r>
      </w:hyperlink>
    </w:p>
    <w:p w:rsidR="00553B36" w:rsidRPr="00553B36" w:rsidRDefault="00553B36" w:rsidP="00553B36">
      <w:pPr>
        <w:shd w:val="clear" w:color="auto" w:fill="FFFFFF"/>
        <w:spacing w:line="408" w:lineRule="atLeast"/>
        <w:jc w:val="both"/>
        <w:rPr>
          <w:rFonts w:ascii="Helvetica" w:eastAsia="Times New Roman" w:hAnsi="Helvetica" w:cs="Times New Roman"/>
          <w:color w:val="333333"/>
          <w:sz w:val="20"/>
          <w:szCs w:val="20"/>
        </w:rPr>
      </w:pPr>
      <w:hyperlink r:id="rId10" w:history="1">
        <w:r w:rsidRPr="00553B36">
          <w:rPr>
            <w:rFonts w:eastAsia="Times New Roman" w:cs="Times New Roman"/>
            <w:color w:val="0000FF"/>
            <w:sz w:val="30"/>
            <w:szCs w:val="30"/>
          </w:rPr>
          <w:t>-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383"/>
    <w:multiLevelType w:val="multilevel"/>
    <w:tmpl w:val="3B92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36"/>
    <w:rsid w:val="003E268A"/>
    <w:rsid w:val="0055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B3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36"/>
    <w:rPr>
      <w:rFonts w:eastAsia="Times New Roman" w:cs="Times New Roman"/>
      <w:b/>
      <w:bCs/>
      <w:kern w:val="36"/>
      <w:sz w:val="48"/>
      <w:szCs w:val="48"/>
    </w:rPr>
  </w:style>
  <w:style w:type="character" w:customStyle="1" w:styleId="h5">
    <w:name w:val="h5"/>
    <w:basedOn w:val="DefaultParagraphFont"/>
    <w:rsid w:val="00553B36"/>
  </w:style>
  <w:style w:type="character" w:styleId="Hyperlink">
    <w:name w:val="Hyperlink"/>
    <w:basedOn w:val="DefaultParagraphFont"/>
    <w:uiPriority w:val="99"/>
    <w:semiHidden/>
    <w:unhideWhenUsed/>
    <w:rsid w:val="00553B36"/>
    <w:rPr>
      <w:color w:val="0000FF"/>
      <w:u w:val="single"/>
    </w:rPr>
  </w:style>
  <w:style w:type="character" w:styleId="Emphasis">
    <w:name w:val="Emphasis"/>
    <w:basedOn w:val="DefaultParagraphFont"/>
    <w:uiPriority w:val="20"/>
    <w:qFormat/>
    <w:rsid w:val="00553B36"/>
    <w:rPr>
      <w:i/>
      <w:iCs/>
    </w:rPr>
  </w:style>
  <w:style w:type="paragraph" w:styleId="NormalWeb">
    <w:name w:val="Normal (Web)"/>
    <w:basedOn w:val="Normal"/>
    <w:uiPriority w:val="99"/>
    <w:semiHidden/>
    <w:unhideWhenUsed/>
    <w:rsid w:val="00553B3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B3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36"/>
    <w:rPr>
      <w:rFonts w:eastAsia="Times New Roman" w:cs="Times New Roman"/>
      <w:b/>
      <w:bCs/>
      <w:kern w:val="36"/>
      <w:sz w:val="48"/>
      <w:szCs w:val="48"/>
    </w:rPr>
  </w:style>
  <w:style w:type="character" w:customStyle="1" w:styleId="h5">
    <w:name w:val="h5"/>
    <w:basedOn w:val="DefaultParagraphFont"/>
    <w:rsid w:val="00553B36"/>
  </w:style>
  <w:style w:type="character" w:styleId="Hyperlink">
    <w:name w:val="Hyperlink"/>
    <w:basedOn w:val="DefaultParagraphFont"/>
    <w:uiPriority w:val="99"/>
    <w:semiHidden/>
    <w:unhideWhenUsed/>
    <w:rsid w:val="00553B36"/>
    <w:rPr>
      <w:color w:val="0000FF"/>
      <w:u w:val="single"/>
    </w:rPr>
  </w:style>
  <w:style w:type="character" w:styleId="Emphasis">
    <w:name w:val="Emphasis"/>
    <w:basedOn w:val="DefaultParagraphFont"/>
    <w:uiPriority w:val="20"/>
    <w:qFormat/>
    <w:rsid w:val="00553B36"/>
    <w:rPr>
      <w:i/>
      <w:iCs/>
    </w:rPr>
  </w:style>
  <w:style w:type="paragraph" w:styleId="NormalWeb">
    <w:name w:val="Normal (Web)"/>
    <w:basedOn w:val="Normal"/>
    <w:uiPriority w:val="99"/>
    <w:semiHidden/>
    <w:unhideWhenUsed/>
    <w:rsid w:val="00553B3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78526">
      <w:bodyDiv w:val="1"/>
      <w:marLeft w:val="0"/>
      <w:marRight w:val="0"/>
      <w:marTop w:val="0"/>
      <w:marBottom w:val="0"/>
      <w:divBdr>
        <w:top w:val="none" w:sz="0" w:space="0" w:color="auto"/>
        <w:left w:val="none" w:sz="0" w:space="0" w:color="auto"/>
        <w:bottom w:val="none" w:sz="0" w:space="0" w:color="auto"/>
        <w:right w:val="none" w:sz="0" w:space="0" w:color="auto"/>
      </w:divBdr>
      <w:divsChild>
        <w:div w:id="1211839467">
          <w:marLeft w:val="-75"/>
          <w:marRight w:val="-75"/>
          <w:marTop w:val="0"/>
          <w:marBottom w:val="225"/>
          <w:divBdr>
            <w:top w:val="none" w:sz="0" w:space="0" w:color="auto"/>
            <w:left w:val="none" w:sz="0" w:space="0" w:color="auto"/>
            <w:bottom w:val="none" w:sz="0" w:space="0" w:color="auto"/>
            <w:right w:val="none" w:sz="0" w:space="0" w:color="auto"/>
          </w:divBdr>
          <w:divsChild>
            <w:div w:id="719670134">
              <w:marLeft w:val="0"/>
              <w:marRight w:val="0"/>
              <w:marTop w:val="0"/>
              <w:marBottom w:val="0"/>
              <w:divBdr>
                <w:top w:val="none" w:sz="0" w:space="0" w:color="auto"/>
                <w:left w:val="none" w:sz="0" w:space="0" w:color="auto"/>
                <w:bottom w:val="none" w:sz="0" w:space="0" w:color="auto"/>
                <w:right w:val="none" w:sz="0" w:space="0" w:color="auto"/>
              </w:divBdr>
            </w:div>
            <w:div w:id="876043389">
              <w:marLeft w:val="0"/>
              <w:marRight w:val="0"/>
              <w:marTop w:val="0"/>
              <w:marBottom w:val="0"/>
              <w:divBdr>
                <w:top w:val="none" w:sz="0" w:space="0" w:color="auto"/>
                <w:left w:val="none" w:sz="0" w:space="0" w:color="auto"/>
                <w:bottom w:val="none" w:sz="0" w:space="0" w:color="auto"/>
                <w:right w:val="none" w:sz="0" w:space="0" w:color="auto"/>
              </w:divBdr>
            </w:div>
          </w:divsChild>
        </w:div>
        <w:div w:id="12096830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mode=detail&amp;document_id=157597" TargetMode="External"/><Relationship Id="rId3" Type="http://schemas.microsoft.com/office/2007/relationships/stylesWithEffects" Target="stylesWithEffects.xml"/><Relationship Id="rId7" Type="http://schemas.openxmlformats.org/officeDocument/2006/relationships/hyperlink" Target="http://vanban.chinhphu.vn/portal/page/portal/chinhphu/hethongvanban?class_id=1&amp;mode=detail&amp;document_id=942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oivu.haugiang.gov.vn/uploads/tthc/2017_11/tt-1mau-3tt-cong-nhan-ban-van-dong-tl-hoi-copy.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anban.chinhphu.vn/portal/page/portal/chinhphu/hethongvanban?class_id=1&amp;mode=detail&amp;document_id=174778" TargetMode="External"/><Relationship Id="rId4" Type="http://schemas.openxmlformats.org/officeDocument/2006/relationships/settings" Target="settings.xml"/><Relationship Id="rId9" Type="http://schemas.openxmlformats.org/officeDocument/2006/relationships/hyperlink" Target="http://vanban.chinhphu.vn/portal/page/portal/chinhphu/hethongvanban?class_id=1&amp;mode=detail&amp;document_id=167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2020-01-20T09:02:00Z</dcterms:created>
  <dcterms:modified xsi:type="dcterms:W3CDTF">2020-01-20T09:03:00Z</dcterms:modified>
</cp:coreProperties>
</file>