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E0" w:rsidRPr="00CD42E0" w:rsidRDefault="00CD42E0" w:rsidP="00CD42E0">
      <w:pPr>
        <w:shd w:val="clear" w:color="auto" w:fill="EEEEEE"/>
        <w:spacing w:before="195" w:after="0" w:line="300" w:lineRule="atLeast"/>
        <w:jc w:val="both"/>
        <w:outlineLvl w:val="1"/>
        <w:rPr>
          <w:rFonts w:eastAsia="Times New Roman" w:cs="Times New Roman"/>
          <w:color w:val="333333"/>
          <w:szCs w:val="28"/>
        </w:rPr>
      </w:pPr>
      <w:bookmarkStart w:id="0" w:name="_GoBack"/>
      <w:r w:rsidRPr="00CD42E0">
        <w:rPr>
          <w:rFonts w:eastAsia="Times New Roman" w:cs="Times New Roman"/>
          <w:color w:val="333333"/>
          <w:szCs w:val="28"/>
        </w:rPr>
        <w:t>Thủ tục Tiếp công dân tại cấp huyện</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Thẩm quyền giải quyết:</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color w:val="333333"/>
          <w:szCs w:val="28"/>
        </w:rPr>
        <w:t>Ủy ban nhân dân huyện, thị xã, thành phố tỉnh</w:t>
      </w:r>
    </w:p>
    <w:p w:rsidR="00CD42E0" w:rsidRPr="00CD42E0" w:rsidRDefault="00CD42E0" w:rsidP="00CD42E0">
      <w:pPr>
        <w:shd w:val="clear" w:color="auto" w:fill="FFFFFF"/>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Lĩnh vực:</w:t>
      </w:r>
    </w:p>
    <w:p w:rsidR="00CD42E0" w:rsidRPr="00CD42E0" w:rsidRDefault="00CD42E0" w:rsidP="00CD42E0">
      <w:pPr>
        <w:shd w:val="clear" w:color="auto" w:fill="FFFFFF"/>
        <w:spacing w:after="0" w:line="240" w:lineRule="auto"/>
        <w:jc w:val="both"/>
        <w:rPr>
          <w:rFonts w:eastAsia="Times New Roman" w:cs="Times New Roman"/>
          <w:color w:val="333333"/>
          <w:szCs w:val="28"/>
        </w:rPr>
      </w:pPr>
      <w:r w:rsidRPr="00CD42E0">
        <w:rPr>
          <w:rFonts w:eastAsia="Times New Roman" w:cs="Times New Roman"/>
          <w:color w:val="333333"/>
          <w:szCs w:val="28"/>
        </w:rPr>
        <w:t>Lĩnh vực tiếp công dân, giải quyết khiếu nại, tố cáo</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Lĩnh vực thống kê:</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color w:val="333333"/>
          <w:szCs w:val="28"/>
        </w:rPr>
        <w:t>Lĩnh vực tiếp công dân, giải quyết khiếu nại, tố cáo</w:t>
      </w:r>
    </w:p>
    <w:p w:rsidR="00CD42E0" w:rsidRPr="00CD42E0" w:rsidRDefault="00CD42E0" w:rsidP="00CD42E0">
      <w:pPr>
        <w:shd w:val="clear" w:color="auto" w:fill="FFFFFF"/>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Cách thức thực hiện:</w:t>
      </w:r>
    </w:p>
    <w:p w:rsidR="00CD42E0" w:rsidRPr="00CD42E0" w:rsidRDefault="00CD42E0" w:rsidP="00CD42E0">
      <w:pPr>
        <w:shd w:val="clear" w:color="auto" w:fill="FFFFFF"/>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Công dân đến trụ sở, địa điểm tiếp công dân</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Trình tự thực hiện: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a) Bước 1: Đón tiếp, xác định nhân thân của công dân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Người tiếp công dân đón tiếp, yêu cầu công dân nêu rõ họ tên, địa chỉ hoặc xuất trình giấy tờ tuỳ thân; trường hợp được ủy quyền thì yêu cầu xuất trình giấy ủy quyền.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b) Bước 2: Nghe, ghi chép nội dung khiếu nại, tố cáo, kiến nghị, phản ánh, tiếp nhận thông tin, tài liệu</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Khi người khiếu nại, tố cáo, kiến nghị, phản ánh có đơn trình bày nội dung rõ ràng, đầy đủ thì người tiếp công dân cần xác định nội dung vụ việc, yêu cầu của công dân để xử lý cho phù hợp.</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Nếu nội dung đơn khiếu nại tố cáo, kiến nghị, phản ánh không rõ ràng, chưa đầy đủ thì người tiếp công dân đề nghị công dân viết lại đơn hoặc viết bổ sung vào đơn những nội dung chưa rõ, còn thiếu.</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  Trường hợp không có đơn khiếu nại, tố cáo, kiến nghị, phản ánh thì người tiếp công dân hướng dẫn công dân viết đơn theo quy định của pháp luật.</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đơn có nhiều nội dung khác nhau thì người tiếp công dân hướng dẫn công dân tách riêng từng nội dung để gửi đến đúng cơ quan, tổ chức, đơn vị có thẩm quyền giải quyết.</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lastRenderedPageBreak/>
        <w:t>c) Bước 3: Phân loại, xử lý khiếu nại, tố cáo, kiến nghị, phản ánh tại nơi tiếp công dân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khiếu nại, tố cáo không thuộc thẩm quyền giải quyết của cơ quan, tổ chức, đơn vị mình thì hướng dẫn người khiếu nại, tố cáo đến cơ quan, tổ chức, đơn vị có thẩm quyền để khiếu nại, tố cáo.</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Nếu khiếu nại, tố cáo thuộc thẩm quyền giải quyết của cấp dưới mà chưa được giải quyết thì xử lý như sau:</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khiếu nại thuộc thẩm quyền của cấp dưới nhưng quá thời gian quy định mà chưa được giải quyết thì người tiếp công dân phải báo cáo với thủ trưởng cơ quan, tổ chức, đơn vị xem xét, quyết định.</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khiếu nại lần đầu đã hết thời hạn nhưng chưa được giải quyết thì người tiếp công dân báo cáo thủ trưởng cơ quan, tổ chức, đơn vị để xem xét, giải quyết theo quy định của Luật khiếu nại.</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tố cáo thuộc thẩm quyền giải quyết của cơ quan, tổ chức, đơn vị cấp dưới trực tiếp nhưng quá thời gian quy định mà chưa được giải quyết thì người tiếp công dân báo cáo thủ trưởng cơ quan, tổ chức, đơn vị để ra văn bản yêu cầu cấp dưới giải quyết.</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Việc phân loại, xử lý kiến nghị, phản ánh đến cơ quan, tổ chức, đơn vị, người có thẩm quyền thụ lý, giải quyết trong quá trình tiếp công dân được thực hiện như sau:</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rsidR="00CD42E0" w:rsidRPr="00CD42E0" w:rsidRDefault="00CD42E0" w:rsidP="00CD42E0">
      <w:pPr>
        <w:shd w:val="clear" w:color="auto" w:fill="FFFFFF"/>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Thành phần hồ sơ:</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Thời hạn giải quyết:</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color w:val="333333"/>
          <w:szCs w:val="28"/>
          <w:bdr w:val="none" w:sz="0" w:space="0" w:color="auto" w:frame="1"/>
        </w:rPr>
        <w:lastRenderedPageBreak/>
        <w:t>Cho đến khi kết thúc việc tiếp công dân</w:t>
      </w:r>
    </w:p>
    <w:p w:rsidR="00CD42E0" w:rsidRPr="00CD42E0" w:rsidRDefault="00CD42E0" w:rsidP="00CD42E0">
      <w:pPr>
        <w:shd w:val="clear" w:color="auto" w:fill="FFFFFF"/>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Mẫu đơn, mẫu tờ khai:</w:t>
      </w:r>
    </w:p>
    <w:p w:rsidR="00CD42E0" w:rsidRPr="00CD42E0" w:rsidRDefault="00CD42E0" w:rsidP="00CD42E0">
      <w:pPr>
        <w:shd w:val="clear" w:color="auto" w:fill="FFFFFF"/>
        <w:spacing w:after="75" w:line="270" w:lineRule="atLeast"/>
        <w:jc w:val="both"/>
        <w:rPr>
          <w:rFonts w:eastAsia="Times New Roman" w:cs="Times New Roman"/>
          <w:color w:val="333333"/>
          <w:szCs w:val="28"/>
        </w:rPr>
      </w:pPr>
      <w:r w:rsidRPr="00CD42E0">
        <w:rPr>
          <w:rFonts w:eastAsia="Times New Roman" w:cs="Times New Roman"/>
          <w:color w:val="333333"/>
          <w:szCs w:val="28"/>
        </w:rPr>
        <w:t>Không</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Lệ phí:</w:t>
      </w:r>
    </w:p>
    <w:p w:rsidR="00CD42E0" w:rsidRPr="00CD42E0" w:rsidRDefault="00CD42E0" w:rsidP="00CD42E0">
      <w:pPr>
        <w:shd w:val="clear" w:color="auto" w:fill="F6F6F6"/>
        <w:spacing w:after="75" w:line="270" w:lineRule="atLeast"/>
        <w:jc w:val="both"/>
        <w:rPr>
          <w:rFonts w:eastAsia="Times New Roman" w:cs="Times New Roman"/>
          <w:color w:val="333333"/>
          <w:szCs w:val="28"/>
        </w:rPr>
      </w:pPr>
      <w:r w:rsidRPr="00CD42E0">
        <w:rPr>
          <w:rFonts w:eastAsia="Times New Roman" w:cs="Times New Roman"/>
          <w:color w:val="333333"/>
          <w:szCs w:val="28"/>
        </w:rPr>
        <w:t>Không</w:t>
      </w:r>
    </w:p>
    <w:p w:rsidR="00CD42E0" w:rsidRPr="00CD42E0" w:rsidRDefault="00CD42E0" w:rsidP="00CD42E0">
      <w:pPr>
        <w:shd w:val="clear" w:color="auto" w:fill="FFFFFF"/>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Kết quả thực hiện:</w:t>
      </w:r>
    </w:p>
    <w:p w:rsidR="00CD42E0" w:rsidRPr="00CD42E0" w:rsidRDefault="00CD42E0" w:rsidP="00CD42E0">
      <w:pPr>
        <w:shd w:val="clear" w:color="auto" w:fill="FFFFFF"/>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Giấy biên nhận tài liệu, chứng cứ; công văn hướng dẫn; công văn chuyển đơn.</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Cơ quan thực hiện: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 Cơ quan, người có thẩm quyền quyết định:</w:t>
      </w:r>
      <w:r w:rsidRPr="00CD42E0">
        <w:rPr>
          <w:rFonts w:eastAsia="Times New Roman" w:cs="Times New Roman"/>
          <w:color w:val="333333"/>
          <w:szCs w:val="28"/>
          <w:bdr w:val="none" w:sz="0" w:space="0" w:color="auto" w:frame="1"/>
        </w:rPr>
        <w:t> Chủ tịch UBND cấp huyện, Chánh Thanh tra cấp huyện, Trưởng phòng, ban chuyên môn trực thuộc UBND cấp huyện.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 Cơ quan trực tiếp thực hiện:</w:t>
      </w:r>
      <w:r w:rsidRPr="00CD42E0">
        <w:rPr>
          <w:rFonts w:eastAsia="Times New Roman" w:cs="Times New Roman"/>
          <w:color w:val="333333"/>
          <w:szCs w:val="28"/>
          <w:bdr w:val="none" w:sz="0" w:space="0" w:color="auto" w:frame="1"/>
        </w:rPr>
        <w:t> Ban tiếp công dân cấp huyện, Thanh tra cấp huyện; các phòng chuyên môn trực thuộc UBND cấp huyện.</w:t>
      </w:r>
    </w:p>
    <w:p w:rsidR="00CD42E0" w:rsidRPr="00CD42E0" w:rsidRDefault="00CD42E0" w:rsidP="00CD42E0">
      <w:pPr>
        <w:shd w:val="clear" w:color="auto" w:fill="FFFFFF"/>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Đối tượng thực hiện:</w:t>
      </w:r>
    </w:p>
    <w:p w:rsidR="00CD42E0" w:rsidRPr="00CD42E0" w:rsidRDefault="00CD42E0" w:rsidP="00CD42E0">
      <w:pPr>
        <w:shd w:val="clear" w:color="auto" w:fill="FFFFFF"/>
        <w:spacing w:after="0" w:line="240" w:lineRule="auto"/>
        <w:jc w:val="both"/>
        <w:rPr>
          <w:rFonts w:eastAsia="Times New Roman" w:cs="Times New Roman"/>
          <w:color w:val="333333"/>
          <w:szCs w:val="28"/>
        </w:rPr>
      </w:pPr>
      <w:r w:rsidRPr="00CD42E0">
        <w:rPr>
          <w:rFonts w:eastAsia="Times New Roman" w:cs="Times New Roman"/>
          <w:color w:val="333333"/>
          <w:szCs w:val="28"/>
          <w:bdr w:val="none" w:sz="0" w:space="0" w:color="auto" w:frame="1"/>
        </w:rPr>
        <w:t>Cá nhân, tổ chức</w:t>
      </w:r>
    </w:p>
    <w:p w:rsidR="00CD42E0" w:rsidRPr="00CD42E0" w:rsidRDefault="00CD42E0" w:rsidP="00CD42E0">
      <w:pPr>
        <w:shd w:val="clear" w:color="auto" w:fill="F6F6F6"/>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Yêu cầu hoặc điều kiện: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Người tiếp công dân được từ chối tiếp người đến nơi tiếp công dân trong các trường hợp sau đây (Điều 9 Luật tiếp công dân):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Người trong tình trạng say do dùng chất kích thích, người mắc bệnh tâm thần hoặc một bệnh khác làm mất khả năng nhận thức hoặc khả năng điều khiển hành vi của mình;</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Người có hành vi đe dọa, xúc phạm cơ quan, tổ chức, đơn vị, người tiếp công dân, người thi hành công vụ hoặc có hành vi khác vi phạm nội quy nơi tiếp công dân;</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CD42E0" w:rsidRPr="00CD42E0" w:rsidRDefault="00CD42E0" w:rsidP="00CD42E0">
      <w:pPr>
        <w:shd w:val="clear" w:color="auto" w:fill="F6F6F6"/>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 Những trường hợp khác theo quy định của pháp luật.</w:t>
      </w:r>
    </w:p>
    <w:p w:rsidR="00CD42E0" w:rsidRPr="00CD42E0" w:rsidRDefault="00CD42E0" w:rsidP="00CD42E0">
      <w:pPr>
        <w:shd w:val="clear" w:color="auto" w:fill="FFFFFF"/>
        <w:spacing w:after="0" w:line="240" w:lineRule="auto"/>
        <w:jc w:val="both"/>
        <w:rPr>
          <w:rFonts w:eastAsia="Times New Roman" w:cs="Times New Roman"/>
          <w:color w:val="333333"/>
          <w:szCs w:val="28"/>
        </w:rPr>
      </w:pPr>
      <w:r w:rsidRPr="00CD42E0">
        <w:rPr>
          <w:rFonts w:eastAsia="Times New Roman" w:cs="Times New Roman"/>
          <w:b/>
          <w:bCs/>
          <w:color w:val="333333"/>
          <w:szCs w:val="28"/>
          <w:bdr w:val="none" w:sz="0" w:space="0" w:color="auto" w:frame="1"/>
        </w:rPr>
        <w:t>Căn cứ pháp lý:</w:t>
      </w:r>
    </w:p>
    <w:p w:rsidR="00CD42E0" w:rsidRPr="00CD42E0" w:rsidRDefault="00CD42E0" w:rsidP="00CD42E0">
      <w:pPr>
        <w:shd w:val="clear" w:color="auto" w:fill="FFFFFF"/>
        <w:spacing w:after="0" w:line="270" w:lineRule="atLeast"/>
        <w:jc w:val="both"/>
        <w:rPr>
          <w:rFonts w:eastAsia="Times New Roman" w:cs="Times New Roman"/>
          <w:color w:val="333333"/>
          <w:szCs w:val="28"/>
        </w:rPr>
      </w:pPr>
      <w:r w:rsidRPr="00CD42E0">
        <w:rPr>
          <w:rFonts w:eastAsia="Times New Roman" w:cs="Times New Roman"/>
          <w:color w:val="333333"/>
          <w:szCs w:val="28"/>
          <w:bdr w:val="none" w:sz="0" w:space="0" w:color="auto" w:frame="1"/>
        </w:rPr>
        <w:t>Luật tiếp công dân năm 2013; Luật khiếu nại, Luật tố cáo năm 2011; Nghị định số 75/2012/NĐ-CP ngày 03/10/2012 của Chính phủ quy định chi tiết một số điều của Luật khiếu nại; Nghị định số 76/2012/NĐ-CP ngày 03/10/2012 của Chính phủ quy định chi tiết thi hành một số điều của Luật tố cáo; Nghị định số 64/2014/NĐ-CP ngày 26/6/2014 quy định chi tiết thi hành một số điều của Luật tiếp công dân; Thông tư số 06/2014/TT-TTCP ngày 31/10/2014 quy định quy trình tiếp công dân.</w:t>
      </w:r>
    </w:p>
    <w:bookmarkEnd w:id="0"/>
    <w:p w:rsidR="003E268A" w:rsidRPr="00CD42E0" w:rsidRDefault="003E268A">
      <w:pPr>
        <w:rPr>
          <w:rFonts w:cs="Times New Roman"/>
          <w:szCs w:val="28"/>
        </w:rPr>
      </w:pPr>
    </w:p>
    <w:sectPr w:rsidR="003E268A" w:rsidRPr="00CD4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2A"/>
    <w:rsid w:val="003E268A"/>
    <w:rsid w:val="00CD42E0"/>
    <w:rsid w:val="00EE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2E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2E0"/>
    <w:rPr>
      <w:rFonts w:eastAsia="Times New Roman" w:cs="Times New Roman"/>
      <w:b/>
      <w:bCs/>
      <w:sz w:val="36"/>
      <w:szCs w:val="36"/>
    </w:rPr>
  </w:style>
  <w:style w:type="character" w:styleId="Strong">
    <w:name w:val="Strong"/>
    <w:basedOn w:val="DefaultParagraphFont"/>
    <w:uiPriority w:val="22"/>
    <w:qFormat/>
    <w:rsid w:val="00CD42E0"/>
    <w:rPr>
      <w:b/>
      <w:bCs/>
    </w:rPr>
  </w:style>
  <w:style w:type="paragraph" w:styleId="NormalWeb">
    <w:name w:val="Normal (Web)"/>
    <w:basedOn w:val="Normal"/>
    <w:uiPriority w:val="99"/>
    <w:semiHidden/>
    <w:unhideWhenUsed/>
    <w:rsid w:val="00CD42E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2E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2E0"/>
    <w:rPr>
      <w:rFonts w:eastAsia="Times New Roman" w:cs="Times New Roman"/>
      <w:b/>
      <w:bCs/>
      <w:sz w:val="36"/>
      <w:szCs w:val="36"/>
    </w:rPr>
  </w:style>
  <w:style w:type="character" w:styleId="Strong">
    <w:name w:val="Strong"/>
    <w:basedOn w:val="DefaultParagraphFont"/>
    <w:uiPriority w:val="22"/>
    <w:qFormat/>
    <w:rsid w:val="00CD42E0"/>
    <w:rPr>
      <w:b/>
      <w:bCs/>
    </w:rPr>
  </w:style>
  <w:style w:type="paragraph" w:styleId="NormalWeb">
    <w:name w:val="Normal (Web)"/>
    <w:basedOn w:val="Normal"/>
    <w:uiPriority w:val="99"/>
    <w:semiHidden/>
    <w:unhideWhenUsed/>
    <w:rsid w:val="00CD42E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66018">
      <w:bodyDiv w:val="1"/>
      <w:marLeft w:val="0"/>
      <w:marRight w:val="0"/>
      <w:marTop w:val="0"/>
      <w:marBottom w:val="0"/>
      <w:divBdr>
        <w:top w:val="none" w:sz="0" w:space="0" w:color="auto"/>
        <w:left w:val="none" w:sz="0" w:space="0" w:color="auto"/>
        <w:bottom w:val="none" w:sz="0" w:space="0" w:color="auto"/>
        <w:right w:val="none" w:sz="0" w:space="0" w:color="auto"/>
      </w:divBdr>
      <w:divsChild>
        <w:div w:id="133646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2020-01-17T09:27:00Z</dcterms:created>
  <dcterms:modified xsi:type="dcterms:W3CDTF">2020-01-17T09:34:00Z</dcterms:modified>
</cp:coreProperties>
</file>