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120" w:rsidRPr="00B80120" w:rsidRDefault="00B80120" w:rsidP="00B80120">
      <w:pPr>
        <w:shd w:val="clear" w:color="auto" w:fill="FFFFFF"/>
        <w:spacing w:before="100" w:beforeAutospacing="1" w:after="100" w:afterAutospacing="1" w:line="240" w:lineRule="auto"/>
        <w:outlineLvl w:val="2"/>
        <w:rPr>
          <w:rFonts w:ascii="Tahoma" w:eastAsia="Times New Roman" w:hAnsi="Tahoma" w:cs="Tahoma"/>
          <w:b/>
          <w:bCs/>
          <w:color w:val="000000"/>
          <w:sz w:val="25"/>
          <w:szCs w:val="25"/>
        </w:rPr>
      </w:pPr>
      <w:r w:rsidRPr="00B80120">
        <w:rPr>
          <w:rFonts w:ascii="Tahoma" w:eastAsia="Times New Roman" w:hAnsi="Tahoma" w:cs="Tahoma"/>
          <w:b/>
          <w:bCs/>
          <w:color w:val="000000"/>
          <w:sz w:val="25"/>
          <w:szCs w:val="25"/>
        </w:rPr>
        <w:t>Cấp giấy Chứng nhận cơ sở đủ điều kiện an toàn thực phẩm đối với cơ sở kinh doanh dịch vụ ăn uống</w:t>
      </w:r>
    </w:p>
    <w:tbl>
      <w:tblPr>
        <w:tblW w:w="10363" w:type="dxa"/>
        <w:tblBorders>
          <w:top w:val="outset" w:sz="6" w:space="0" w:color="808080"/>
          <w:left w:val="outset" w:sz="6" w:space="0" w:color="808080"/>
          <w:bottom w:val="outset" w:sz="6" w:space="0" w:color="808080"/>
          <w:right w:val="outset" w:sz="6" w:space="0" w:color="808080"/>
        </w:tblBorders>
        <w:shd w:val="clear" w:color="auto" w:fill="FFFFFF"/>
        <w:tblCellMar>
          <w:top w:w="15" w:type="dxa"/>
          <w:left w:w="15" w:type="dxa"/>
          <w:bottom w:w="15" w:type="dxa"/>
          <w:right w:w="15" w:type="dxa"/>
        </w:tblCellMar>
        <w:tblLook w:val="04A0" w:firstRow="1" w:lastRow="0" w:firstColumn="1" w:lastColumn="0" w:noHBand="0" w:noVBand="1"/>
      </w:tblPr>
      <w:tblGrid>
        <w:gridCol w:w="1200"/>
        <w:gridCol w:w="9163"/>
      </w:tblGrid>
      <w:tr w:rsidR="00B80120" w:rsidRPr="00B80120" w:rsidTr="00B80120">
        <w:trPr>
          <w:gridAfter w:val="1"/>
          <w:wAfter w:w="9163" w:type="dxa"/>
        </w:trPr>
        <w:tc>
          <w:tcPr>
            <w:tcW w:w="0" w:type="auto"/>
            <w:shd w:val="clear" w:color="auto" w:fill="FFFFFF"/>
            <w:vAlign w:val="center"/>
            <w:hideMark/>
          </w:tcPr>
          <w:p w:rsidR="00B80120" w:rsidRPr="00B80120" w:rsidRDefault="00B80120" w:rsidP="00B80120">
            <w:pPr>
              <w:spacing w:after="0" w:line="240" w:lineRule="auto"/>
              <w:rPr>
                <w:rFonts w:eastAsia="Times New Roman" w:cs="Times New Roman"/>
                <w:sz w:val="24"/>
                <w:szCs w:val="24"/>
              </w:rPr>
            </w:pPr>
          </w:p>
        </w:tc>
      </w:tr>
      <w:tr w:rsidR="00B80120" w:rsidRPr="00B80120" w:rsidTr="00B80120">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80120" w:rsidRPr="00B80120" w:rsidRDefault="00B80120" w:rsidP="00B80120">
            <w:pPr>
              <w:spacing w:after="0" w:line="240" w:lineRule="auto"/>
              <w:rPr>
                <w:rFonts w:eastAsia="Times New Roman" w:cs="Times New Roman"/>
                <w:sz w:val="24"/>
                <w:szCs w:val="24"/>
              </w:rPr>
            </w:pPr>
            <w:r w:rsidRPr="00B80120">
              <w:rPr>
                <w:rFonts w:eastAsia="Times New Roman" w:cs="Times New Roman"/>
                <w:sz w:val="24"/>
                <w:szCs w:val="24"/>
              </w:rPr>
              <w:t>Thẩm quyền giải quyết</w:t>
            </w:r>
          </w:p>
        </w:tc>
        <w:tc>
          <w:tcPr>
            <w:tcW w:w="916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80120" w:rsidRPr="00B80120" w:rsidRDefault="00B80120" w:rsidP="00B80120">
            <w:pPr>
              <w:spacing w:after="0" w:line="240" w:lineRule="auto"/>
              <w:rPr>
                <w:rFonts w:eastAsia="Times New Roman" w:cs="Times New Roman"/>
                <w:sz w:val="24"/>
                <w:szCs w:val="24"/>
              </w:rPr>
            </w:pPr>
            <w:r w:rsidRPr="00B80120">
              <w:rPr>
                <w:rFonts w:eastAsia="Times New Roman" w:cs="Times New Roman"/>
                <w:sz w:val="24"/>
                <w:szCs w:val="24"/>
              </w:rPr>
              <w:t>Phòng Y tế</w:t>
            </w:r>
          </w:p>
        </w:tc>
      </w:tr>
      <w:tr w:rsidR="00B80120" w:rsidRPr="00B80120" w:rsidTr="00B80120">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80120" w:rsidRPr="00B80120" w:rsidRDefault="00B80120" w:rsidP="00B80120">
            <w:pPr>
              <w:spacing w:after="0" w:line="240" w:lineRule="auto"/>
              <w:rPr>
                <w:rFonts w:eastAsia="Times New Roman" w:cs="Times New Roman"/>
                <w:sz w:val="24"/>
                <w:szCs w:val="24"/>
              </w:rPr>
            </w:pPr>
            <w:r w:rsidRPr="00B80120">
              <w:rPr>
                <w:rFonts w:eastAsia="Times New Roman" w:cs="Times New Roman"/>
                <w:sz w:val="24"/>
                <w:szCs w:val="24"/>
              </w:rPr>
              <w:t>Lĩnh vực</w:t>
            </w:r>
          </w:p>
        </w:tc>
        <w:tc>
          <w:tcPr>
            <w:tcW w:w="916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80120" w:rsidRPr="00B80120" w:rsidRDefault="00B80120" w:rsidP="00B80120">
            <w:pPr>
              <w:spacing w:after="0" w:line="240" w:lineRule="auto"/>
              <w:rPr>
                <w:rFonts w:eastAsia="Times New Roman" w:cs="Times New Roman"/>
                <w:sz w:val="24"/>
                <w:szCs w:val="24"/>
              </w:rPr>
            </w:pPr>
            <w:r w:rsidRPr="00B80120">
              <w:rPr>
                <w:rFonts w:eastAsia="Times New Roman" w:cs="Times New Roman"/>
                <w:sz w:val="24"/>
                <w:szCs w:val="24"/>
              </w:rPr>
              <w:t>Lĩnh vực an toàn vệ sinh thực phầm</w:t>
            </w:r>
          </w:p>
        </w:tc>
      </w:tr>
      <w:tr w:rsidR="00B80120" w:rsidRPr="00B80120" w:rsidTr="00B80120">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80120" w:rsidRPr="00B80120" w:rsidRDefault="00B80120" w:rsidP="00B80120">
            <w:pPr>
              <w:spacing w:after="0" w:line="240" w:lineRule="auto"/>
              <w:rPr>
                <w:rFonts w:eastAsia="Times New Roman" w:cs="Times New Roman"/>
                <w:sz w:val="24"/>
                <w:szCs w:val="24"/>
              </w:rPr>
            </w:pPr>
            <w:r w:rsidRPr="00B80120">
              <w:rPr>
                <w:rFonts w:eastAsia="Times New Roman" w:cs="Times New Roman"/>
                <w:sz w:val="24"/>
                <w:szCs w:val="24"/>
              </w:rPr>
              <w:t>Cách thức thực hiện</w:t>
            </w:r>
          </w:p>
        </w:tc>
        <w:tc>
          <w:tcPr>
            <w:tcW w:w="916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80120" w:rsidRPr="00B80120" w:rsidRDefault="00B80120" w:rsidP="00B80120">
            <w:pPr>
              <w:spacing w:after="0" w:line="240" w:lineRule="auto"/>
              <w:rPr>
                <w:rFonts w:eastAsia="Times New Roman" w:cs="Times New Roman"/>
                <w:sz w:val="24"/>
                <w:szCs w:val="24"/>
              </w:rPr>
            </w:pPr>
            <w:r w:rsidRPr="00B80120">
              <w:rPr>
                <w:rFonts w:eastAsia="Times New Roman" w:cs="Times New Roman"/>
                <w:sz w:val="24"/>
                <w:szCs w:val="24"/>
              </w:rPr>
              <w:t>Nộp hồ sơ trực tiếp hoặc gửi qua đường bưu chính có bảo đảm.</w:t>
            </w:r>
          </w:p>
        </w:tc>
      </w:tr>
      <w:tr w:rsidR="00B80120" w:rsidRPr="00B80120" w:rsidTr="00B80120">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80120" w:rsidRPr="00B80120" w:rsidRDefault="00B80120" w:rsidP="00B80120">
            <w:pPr>
              <w:spacing w:after="0" w:line="240" w:lineRule="auto"/>
              <w:rPr>
                <w:rFonts w:eastAsia="Times New Roman" w:cs="Times New Roman"/>
                <w:sz w:val="24"/>
                <w:szCs w:val="24"/>
              </w:rPr>
            </w:pPr>
            <w:r w:rsidRPr="00B80120">
              <w:rPr>
                <w:rFonts w:eastAsia="Times New Roman" w:cs="Times New Roman"/>
                <w:sz w:val="24"/>
                <w:szCs w:val="24"/>
              </w:rPr>
              <w:t>Trình tự thực hiện</w:t>
            </w:r>
          </w:p>
        </w:tc>
        <w:tc>
          <w:tcPr>
            <w:tcW w:w="916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80120" w:rsidRPr="00B80120" w:rsidRDefault="00B80120" w:rsidP="00B80120">
            <w:pPr>
              <w:spacing w:after="0" w:line="240" w:lineRule="auto"/>
              <w:rPr>
                <w:rFonts w:eastAsia="Times New Roman" w:cs="Times New Roman"/>
                <w:sz w:val="24"/>
                <w:szCs w:val="24"/>
              </w:rPr>
            </w:pPr>
            <w:r w:rsidRPr="00B80120">
              <w:rPr>
                <w:rFonts w:eastAsia="Times New Roman" w:cs="Times New Roman"/>
                <w:b/>
                <w:bCs/>
                <w:sz w:val="24"/>
                <w:szCs w:val="24"/>
              </w:rPr>
              <w:t>Bước 1. Tiếp nhận hồ sơ</w:t>
            </w:r>
            <w:r w:rsidRPr="00B80120">
              <w:rPr>
                <w:rFonts w:eastAsia="Times New Roman" w:cs="Times New Roman"/>
                <w:sz w:val="24"/>
                <w:szCs w:val="24"/>
              </w:rPr>
              <w:br/>
              <w:t>- Người đề nghị chuẩn bị đầy đủ hồ sơ theo quy định, nộp hồ sơ tại Bộ phận tiếp nhận và trả kết quả của UBND cấp huyện hoặc gửi hồ sơ qua đường bưu chính.</w:t>
            </w:r>
            <w:r w:rsidRPr="00B80120">
              <w:rPr>
                <w:rFonts w:eastAsia="Times New Roman" w:cs="Times New Roman"/>
                <w:sz w:val="24"/>
                <w:szCs w:val="24"/>
              </w:rPr>
              <w:br/>
              <w:t>- Công chức tiếp nhận hồ sơ tại Bộ phận tiếp nhận và trả kết quả kiểm tra tính hợp lệ, đầy đủ của hồ sơ:</w:t>
            </w:r>
            <w:r w:rsidRPr="00B80120">
              <w:rPr>
                <w:rFonts w:eastAsia="Times New Roman" w:cs="Times New Roman"/>
                <w:sz w:val="24"/>
                <w:szCs w:val="24"/>
              </w:rPr>
              <w:br/>
              <w:t>+ Trường hợp hồ sơ không thuộc phạm vi giải quyết thì hướng dẫn để cá nhân, tổ chức đến cơ quan có thẩm quyền giải quyết;</w:t>
            </w:r>
            <w:r w:rsidRPr="00B80120">
              <w:rPr>
                <w:rFonts w:eastAsia="Times New Roman" w:cs="Times New Roman"/>
                <w:sz w:val="24"/>
                <w:szCs w:val="24"/>
              </w:rPr>
              <w:br/>
              <w:t>+  Trường hợp hồ sơ chưa hợp lệ thì hướng dẫn cụ thể theo mẫu số 01 tại Phụ lục ban hành kèm theo Quyết định số 09/2015/QĐ-TTg của Thủ tướng Chính Phủ.</w:t>
            </w:r>
            <w:r w:rsidRPr="00B80120">
              <w:rPr>
                <w:rFonts w:eastAsia="Times New Roman" w:cs="Times New Roman"/>
                <w:sz w:val="24"/>
                <w:szCs w:val="24"/>
              </w:rPr>
              <w:br/>
              <w:t>- Công chức tiếp nhận hồ sơ nhập vào Sổ theo dõi hồ sơ theo mẫu số 02 tại Phụ lục ban hành kèm theo Quyết định số 09/2015/QĐ-TTg và phần mềm điện tử (nếu có); lập Giấy tiếp nhận hồ sơ và hẹn trả kết quả theo mẫu số 03 tại Phụ lục ban hành kèm theo Quyết định số 09/2015/QĐ-TTg;</w:t>
            </w:r>
            <w:r w:rsidRPr="00B80120">
              <w:rPr>
                <w:rFonts w:eastAsia="Times New Roman" w:cs="Times New Roman"/>
                <w:sz w:val="24"/>
                <w:szCs w:val="24"/>
              </w:rPr>
              <w:br/>
            </w:r>
            <w:r w:rsidRPr="00B80120">
              <w:rPr>
                <w:rFonts w:eastAsia="Times New Roman" w:cs="Times New Roman"/>
                <w:b/>
                <w:bCs/>
                <w:sz w:val="24"/>
                <w:szCs w:val="24"/>
              </w:rPr>
              <w:t>Bước 2. Tổ chức thẩm định điều kiện cơ sở  </w:t>
            </w:r>
            <w:r w:rsidRPr="00B80120">
              <w:rPr>
                <w:rFonts w:eastAsia="Times New Roman" w:cs="Times New Roman"/>
                <w:sz w:val="24"/>
                <w:szCs w:val="24"/>
              </w:rPr>
              <w:br/>
              <w:t>Cơ quan có thẩm quyền giải quyết tổ chức kiểm tra thực tế điều kiện bảo đảm an toàn thực phẩm tại cơ sở kinh doanh dịch vụ ăn uống.</w:t>
            </w:r>
            <w:r w:rsidRPr="00B80120">
              <w:rPr>
                <w:rFonts w:eastAsia="Times New Roman" w:cs="Times New Roman"/>
                <w:sz w:val="24"/>
                <w:szCs w:val="24"/>
              </w:rPr>
              <w:br/>
            </w:r>
            <w:r w:rsidRPr="00B80120">
              <w:rPr>
                <w:rFonts w:eastAsia="Times New Roman" w:cs="Times New Roman"/>
                <w:b/>
                <w:bCs/>
                <w:sz w:val="24"/>
                <w:szCs w:val="24"/>
              </w:rPr>
              <w:t>Bước 3. Trả kết quả giải quyết hồ sơ: </w:t>
            </w:r>
            <w:r w:rsidRPr="00B80120">
              <w:rPr>
                <w:rFonts w:eastAsia="Times New Roman" w:cs="Times New Roman"/>
                <w:sz w:val="24"/>
                <w:szCs w:val="24"/>
              </w:rPr>
              <w:t>Thực hiện theo Khoản 4 Điều 6 Quy chế ban hành kèm theo Quyết định 09/2015/QĐ-TTg.</w:t>
            </w:r>
            <w:r w:rsidRPr="00B80120">
              <w:rPr>
                <w:rFonts w:eastAsia="Times New Roman" w:cs="Times New Roman"/>
                <w:sz w:val="24"/>
                <w:szCs w:val="24"/>
              </w:rPr>
              <w:br/>
              <w:t>Thời gian nhận hồ sơ, trả kết quả và nộp lệ phí (nếu có): sáng từ 7h-11h, chiều từ 13h-17h từ sáng thứ 2 đến thứ 6 </w:t>
            </w:r>
            <w:r w:rsidRPr="00B80120">
              <w:rPr>
                <w:rFonts w:eastAsia="Times New Roman" w:cs="Times New Roman"/>
                <w:i/>
                <w:iCs/>
                <w:sz w:val="24"/>
                <w:szCs w:val="24"/>
              </w:rPr>
              <w:t>(trừ ngày nghỉ lễ, tết theo quy định của pháp luật).</w:t>
            </w:r>
            <w:r w:rsidRPr="00B80120">
              <w:rPr>
                <w:rFonts w:eastAsia="Times New Roman" w:cs="Times New Roman"/>
                <w:sz w:val="24"/>
                <w:szCs w:val="24"/>
              </w:rPr>
              <w:br/>
            </w:r>
            <w:r w:rsidRPr="00B80120">
              <w:rPr>
                <w:rFonts w:eastAsia="Times New Roman" w:cs="Times New Roman"/>
                <w:b/>
                <w:bCs/>
                <w:sz w:val="24"/>
                <w:szCs w:val="24"/>
              </w:rPr>
              <w:t>* Cách thức thực hiện:</w:t>
            </w:r>
            <w:r w:rsidRPr="00B80120">
              <w:rPr>
                <w:rFonts w:eastAsia="Times New Roman" w:cs="Times New Roman"/>
                <w:sz w:val="24"/>
                <w:szCs w:val="24"/>
              </w:rPr>
              <w:t>Nộp trực tiếp hồ sơ tại Bộ phận tiếp nhận và trả kết quả của UBND huyện, thị xã, thành phốhoặc gửi hồ sơ qua đường bưu chính.</w:t>
            </w:r>
            <w:r w:rsidRPr="00B80120">
              <w:rPr>
                <w:rFonts w:eastAsia="Times New Roman" w:cs="Times New Roman"/>
                <w:sz w:val="24"/>
                <w:szCs w:val="24"/>
              </w:rPr>
              <w:br/>
              <w:t> </w:t>
            </w:r>
          </w:p>
        </w:tc>
      </w:tr>
      <w:tr w:rsidR="00B80120" w:rsidRPr="00B80120" w:rsidTr="00B80120">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80120" w:rsidRPr="00B80120" w:rsidRDefault="00B80120" w:rsidP="00B80120">
            <w:pPr>
              <w:spacing w:after="0" w:line="240" w:lineRule="auto"/>
              <w:rPr>
                <w:rFonts w:eastAsia="Times New Roman" w:cs="Times New Roman"/>
                <w:sz w:val="24"/>
                <w:szCs w:val="24"/>
              </w:rPr>
            </w:pPr>
            <w:r w:rsidRPr="00B80120">
              <w:rPr>
                <w:rFonts w:eastAsia="Times New Roman" w:cs="Times New Roman"/>
                <w:sz w:val="24"/>
                <w:szCs w:val="24"/>
              </w:rPr>
              <w:t>Thành phần hồ sơ</w:t>
            </w:r>
          </w:p>
        </w:tc>
        <w:tc>
          <w:tcPr>
            <w:tcW w:w="916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80120" w:rsidRPr="00B80120" w:rsidRDefault="00B80120" w:rsidP="00B80120">
            <w:pPr>
              <w:spacing w:after="0" w:line="240" w:lineRule="auto"/>
              <w:rPr>
                <w:rFonts w:eastAsia="Times New Roman" w:cs="Times New Roman"/>
                <w:sz w:val="24"/>
                <w:szCs w:val="24"/>
              </w:rPr>
            </w:pPr>
            <w:r w:rsidRPr="00B80120">
              <w:rPr>
                <w:rFonts w:eastAsia="Times New Roman" w:cs="Times New Roman"/>
                <w:b/>
                <w:bCs/>
                <w:sz w:val="24"/>
                <w:szCs w:val="24"/>
              </w:rPr>
              <w:t>* Thành phần hồ sơ: </w:t>
            </w:r>
            <w:r w:rsidRPr="00B80120">
              <w:rPr>
                <w:rFonts w:eastAsia="Times New Roman" w:cs="Times New Roman"/>
                <w:sz w:val="24"/>
                <w:szCs w:val="24"/>
              </w:rPr>
              <w:br/>
              <w:t>- Đơn đề nghị cấp Giấy chứng nhận cơ sở đủ điều kiện an toàn thực phẩm theo Mẫu số 01 ban hành kèm theo Thông tư số 47/2014/TT-BYT ngày 11 tháng 12 năm 2014 của Bộ trưởng Bộ Y tế.</w:t>
            </w:r>
            <w:r w:rsidRPr="00B80120">
              <w:rPr>
                <w:rFonts w:eastAsia="Times New Roman" w:cs="Times New Roman"/>
                <w:sz w:val="24"/>
                <w:szCs w:val="24"/>
              </w:rPr>
              <w:br/>
              <w:t>- Giấy chứng nhận đăng ký kinh doanh có đăng ký ngành nghề kinh doanh dịch vụ ăn uống (bản sao có xác nhận của cơ sở).</w:t>
            </w:r>
            <w:r w:rsidRPr="00B80120">
              <w:rPr>
                <w:rFonts w:eastAsia="Times New Roman" w:cs="Times New Roman"/>
                <w:sz w:val="24"/>
                <w:szCs w:val="24"/>
              </w:rPr>
              <w:br/>
              <w:t>- Bản mô tả về cơ sở vật chất, trang thiết bị, dụng cụ bảo đảm điều kiện an toàn thực phẩm, bao gồm:</w:t>
            </w:r>
            <w:r w:rsidRPr="00B80120">
              <w:rPr>
                <w:rFonts w:eastAsia="Times New Roman" w:cs="Times New Roman"/>
                <w:sz w:val="24"/>
                <w:szCs w:val="24"/>
              </w:rPr>
              <w:br/>
              <w:t>+ Bản vẽ sơ đồ mặt bằng của cơ sở;</w:t>
            </w:r>
            <w:r w:rsidRPr="00B80120">
              <w:rPr>
                <w:rFonts w:eastAsia="Times New Roman" w:cs="Times New Roman"/>
                <w:sz w:val="24"/>
                <w:szCs w:val="24"/>
              </w:rPr>
              <w:br/>
              <w:t>+ Sơ đồ quy trình chế biến, bảo quản, vận chuyển, bày bán thức ăn, đồ uống;</w:t>
            </w:r>
            <w:r w:rsidRPr="00B80120">
              <w:rPr>
                <w:rFonts w:eastAsia="Times New Roman" w:cs="Times New Roman"/>
                <w:sz w:val="24"/>
                <w:szCs w:val="24"/>
              </w:rPr>
              <w:br/>
              <w:t>+ Bản kê về cơ sở vật chất, trang thiết bị, dụng cụ của cơ sở.</w:t>
            </w:r>
            <w:r w:rsidRPr="00B80120">
              <w:rPr>
                <w:rFonts w:eastAsia="Times New Roman" w:cs="Times New Roman"/>
                <w:sz w:val="24"/>
                <w:szCs w:val="24"/>
              </w:rPr>
              <w:br/>
              <w:t xml:space="preserve">- Giấy xác nhận kiến thức về an toàn thực phẩm của chủ cơ sở và người trực tiếp chế biến, </w:t>
            </w:r>
            <w:r w:rsidRPr="00B80120">
              <w:rPr>
                <w:rFonts w:eastAsia="Times New Roman" w:cs="Times New Roman"/>
                <w:sz w:val="24"/>
                <w:szCs w:val="24"/>
              </w:rPr>
              <w:lastRenderedPageBreak/>
              <w:t>kinh doanh dịch vụ ăn uống (bản sao có xác nhận của cơ sở).</w:t>
            </w:r>
            <w:r w:rsidRPr="00B80120">
              <w:rPr>
                <w:rFonts w:eastAsia="Times New Roman" w:cs="Times New Roman"/>
                <w:sz w:val="24"/>
                <w:szCs w:val="24"/>
              </w:rPr>
              <w:br/>
              <w:t>- Danh sách kết quả khám sức khoẻ của chủ cơ sở và người trực tiếp chế biến, kinh doanh dịch vụ ăn uống.</w:t>
            </w:r>
            <w:r w:rsidRPr="00B80120">
              <w:rPr>
                <w:rFonts w:eastAsia="Times New Roman" w:cs="Times New Roman"/>
                <w:sz w:val="24"/>
                <w:szCs w:val="24"/>
              </w:rPr>
              <w:br/>
              <w:t>- Danh sách kết quả cấy phân tìm vi khuẩn tả, lỵ trực khuẩn và thương hàn của người trực tiếp chế biến, kinh doanh dịch vụ ăn uống đối với những vùng có dịch bệnh tiêu chảy đang lưu hành theo công bố của Bộ Y tế.</w:t>
            </w:r>
            <w:r w:rsidRPr="00B80120">
              <w:rPr>
                <w:rFonts w:eastAsia="Times New Roman" w:cs="Times New Roman"/>
                <w:sz w:val="24"/>
                <w:szCs w:val="24"/>
              </w:rPr>
              <w:br/>
            </w:r>
            <w:r w:rsidRPr="00B80120">
              <w:rPr>
                <w:rFonts w:eastAsia="Times New Roman" w:cs="Times New Roman"/>
                <w:b/>
                <w:bCs/>
                <w:sz w:val="24"/>
                <w:szCs w:val="24"/>
              </w:rPr>
              <w:t>* Số lượng hồ sơ:</w:t>
            </w:r>
            <w:r w:rsidRPr="00B80120">
              <w:rPr>
                <w:rFonts w:eastAsia="Times New Roman" w:cs="Times New Roman"/>
                <w:sz w:val="24"/>
                <w:szCs w:val="24"/>
              </w:rPr>
              <w:t> 01 bộ.</w:t>
            </w:r>
          </w:p>
        </w:tc>
      </w:tr>
      <w:tr w:rsidR="00B80120" w:rsidRPr="00B80120" w:rsidTr="00B80120">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80120" w:rsidRPr="00B80120" w:rsidRDefault="00B80120" w:rsidP="00B80120">
            <w:pPr>
              <w:spacing w:after="0" w:line="240" w:lineRule="auto"/>
              <w:rPr>
                <w:rFonts w:eastAsia="Times New Roman" w:cs="Times New Roman"/>
                <w:sz w:val="24"/>
                <w:szCs w:val="24"/>
              </w:rPr>
            </w:pPr>
            <w:r w:rsidRPr="00B80120">
              <w:rPr>
                <w:rFonts w:eastAsia="Times New Roman" w:cs="Times New Roman"/>
                <w:sz w:val="24"/>
                <w:szCs w:val="24"/>
              </w:rPr>
              <w:lastRenderedPageBreak/>
              <w:t>Thời hạn giải quyết</w:t>
            </w:r>
          </w:p>
        </w:tc>
        <w:tc>
          <w:tcPr>
            <w:tcW w:w="916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80120" w:rsidRPr="00B80120" w:rsidRDefault="00B80120" w:rsidP="00B80120">
            <w:pPr>
              <w:spacing w:after="0" w:line="240" w:lineRule="auto"/>
              <w:rPr>
                <w:rFonts w:eastAsia="Times New Roman" w:cs="Times New Roman"/>
                <w:sz w:val="24"/>
                <w:szCs w:val="24"/>
              </w:rPr>
            </w:pPr>
            <w:r w:rsidRPr="00B80120">
              <w:rPr>
                <w:rFonts w:eastAsia="Times New Roman" w:cs="Times New Roman"/>
                <w:sz w:val="24"/>
                <w:szCs w:val="24"/>
              </w:rPr>
              <w:t>15 ngày làm việc</w:t>
            </w:r>
          </w:p>
        </w:tc>
      </w:tr>
      <w:tr w:rsidR="00B80120" w:rsidRPr="00B80120" w:rsidTr="00B80120">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80120" w:rsidRPr="00B80120" w:rsidRDefault="00B80120" w:rsidP="00B80120">
            <w:pPr>
              <w:spacing w:after="0" w:line="240" w:lineRule="auto"/>
              <w:rPr>
                <w:rFonts w:eastAsia="Times New Roman" w:cs="Times New Roman"/>
                <w:sz w:val="24"/>
                <w:szCs w:val="24"/>
              </w:rPr>
            </w:pPr>
            <w:r w:rsidRPr="00B80120">
              <w:rPr>
                <w:rFonts w:eastAsia="Times New Roman" w:cs="Times New Roman"/>
                <w:sz w:val="24"/>
                <w:szCs w:val="24"/>
              </w:rPr>
              <w:t>Lệ phí</w:t>
            </w:r>
          </w:p>
        </w:tc>
        <w:tc>
          <w:tcPr>
            <w:tcW w:w="916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80120" w:rsidRPr="00B80120" w:rsidRDefault="00B80120" w:rsidP="00B80120">
            <w:pPr>
              <w:spacing w:after="0" w:line="240" w:lineRule="auto"/>
              <w:rPr>
                <w:rFonts w:eastAsia="Times New Roman" w:cs="Times New Roman"/>
                <w:sz w:val="24"/>
                <w:szCs w:val="24"/>
              </w:rPr>
            </w:pPr>
            <w:r w:rsidRPr="00B80120">
              <w:rPr>
                <w:rFonts w:eastAsia="Times New Roman" w:cs="Times New Roman"/>
                <w:sz w:val="24"/>
                <w:szCs w:val="24"/>
              </w:rPr>
              <w:t>Phí thẩm định cơ sở kinh doanh dịch vụ ăn uống phục vụ dưới 200 suất ăn: 700.000 đồng/lần/cơ sở</w:t>
            </w:r>
          </w:p>
        </w:tc>
      </w:tr>
      <w:tr w:rsidR="00B80120" w:rsidRPr="00B80120" w:rsidTr="00B80120">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80120" w:rsidRPr="00B80120" w:rsidRDefault="00B80120" w:rsidP="00B80120">
            <w:pPr>
              <w:spacing w:after="0" w:line="240" w:lineRule="auto"/>
              <w:rPr>
                <w:rFonts w:eastAsia="Times New Roman" w:cs="Times New Roman"/>
                <w:sz w:val="24"/>
                <w:szCs w:val="24"/>
              </w:rPr>
            </w:pPr>
            <w:r w:rsidRPr="00B80120">
              <w:rPr>
                <w:rFonts w:eastAsia="Times New Roman" w:cs="Times New Roman"/>
                <w:sz w:val="24"/>
                <w:szCs w:val="24"/>
              </w:rPr>
              <w:t>Kết quả thực hiện</w:t>
            </w:r>
          </w:p>
        </w:tc>
        <w:tc>
          <w:tcPr>
            <w:tcW w:w="916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80120" w:rsidRPr="00B80120" w:rsidRDefault="00B80120" w:rsidP="00B80120">
            <w:pPr>
              <w:spacing w:after="0" w:line="240" w:lineRule="auto"/>
              <w:rPr>
                <w:rFonts w:eastAsia="Times New Roman" w:cs="Times New Roman"/>
                <w:sz w:val="24"/>
                <w:szCs w:val="24"/>
              </w:rPr>
            </w:pPr>
            <w:r w:rsidRPr="00B80120">
              <w:rPr>
                <w:rFonts w:eastAsia="Times New Roman" w:cs="Times New Roman"/>
                <w:sz w:val="24"/>
                <w:szCs w:val="24"/>
              </w:rPr>
              <w:t>Giấy chứng nhận cơ sở đủ điều kiện an toàn thực phẩm</w:t>
            </w:r>
          </w:p>
        </w:tc>
      </w:tr>
      <w:tr w:rsidR="00B80120" w:rsidRPr="00B80120" w:rsidTr="00B80120">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80120" w:rsidRPr="00B80120" w:rsidRDefault="00B80120" w:rsidP="00B80120">
            <w:pPr>
              <w:spacing w:after="0" w:line="240" w:lineRule="auto"/>
              <w:rPr>
                <w:rFonts w:eastAsia="Times New Roman" w:cs="Times New Roman"/>
                <w:sz w:val="24"/>
                <w:szCs w:val="24"/>
              </w:rPr>
            </w:pPr>
            <w:r w:rsidRPr="00B80120">
              <w:rPr>
                <w:rFonts w:eastAsia="Times New Roman" w:cs="Times New Roman"/>
                <w:sz w:val="24"/>
                <w:szCs w:val="24"/>
              </w:rPr>
              <w:t>Cơ quan thực hiện</w:t>
            </w:r>
          </w:p>
        </w:tc>
        <w:tc>
          <w:tcPr>
            <w:tcW w:w="916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80120" w:rsidRPr="00B80120" w:rsidRDefault="00B80120" w:rsidP="00B80120">
            <w:pPr>
              <w:spacing w:after="0" w:line="240" w:lineRule="auto"/>
              <w:rPr>
                <w:rFonts w:eastAsia="Times New Roman" w:cs="Times New Roman"/>
                <w:sz w:val="24"/>
                <w:szCs w:val="24"/>
              </w:rPr>
            </w:pPr>
            <w:r w:rsidRPr="00B80120">
              <w:rPr>
                <w:rFonts w:eastAsia="Times New Roman" w:cs="Times New Roman"/>
                <w:sz w:val="24"/>
                <w:szCs w:val="24"/>
              </w:rPr>
              <w:t>Phòng Y tế</w:t>
            </w:r>
          </w:p>
        </w:tc>
      </w:tr>
      <w:tr w:rsidR="00B80120" w:rsidRPr="00B80120" w:rsidTr="00B80120">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80120" w:rsidRPr="00B80120" w:rsidRDefault="00B80120" w:rsidP="00B80120">
            <w:pPr>
              <w:spacing w:after="0" w:line="240" w:lineRule="auto"/>
              <w:rPr>
                <w:rFonts w:eastAsia="Times New Roman" w:cs="Times New Roman"/>
                <w:sz w:val="24"/>
                <w:szCs w:val="24"/>
              </w:rPr>
            </w:pPr>
            <w:r w:rsidRPr="00B80120">
              <w:rPr>
                <w:rFonts w:eastAsia="Times New Roman" w:cs="Times New Roman"/>
                <w:sz w:val="24"/>
                <w:szCs w:val="24"/>
              </w:rPr>
              <w:t>Đối tượng thực hiện</w:t>
            </w:r>
          </w:p>
        </w:tc>
        <w:tc>
          <w:tcPr>
            <w:tcW w:w="916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80120" w:rsidRPr="00B80120" w:rsidRDefault="00B80120" w:rsidP="00B80120">
            <w:pPr>
              <w:spacing w:after="0" w:line="240" w:lineRule="auto"/>
              <w:rPr>
                <w:rFonts w:eastAsia="Times New Roman" w:cs="Times New Roman"/>
                <w:sz w:val="24"/>
                <w:szCs w:val="24"/>
              </w:rPr>
            </w:pPr>
            <w:r w:rsidRPr="00B80120">
              <w:rPr>
                <w:rFonts w:eastAsia="Times New Roman" w:cs="Times New Roman"/>
                <w:sz w:val="24"/>
                <w:szCs w:val="24"/>
              </w:rPr>
              <w:t>Tổ chức, cá nhân kinh doanh dịch vụ ăn uống.</w:t>
            </w:r>
          </w:p>
        </w:tc>
      </w:tr>
      <w:tr w:rsidR="00B80120" w:rsidRPr="00B80120" w:rsidTr="00B80120">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80120" w:rsidRPr="00B80120" w:rsidRDefault="00B80120" w:rsidP="00B80120">
            <w:pPr>
              <w:spacing w:after="0" w:line="240" w:lineRule="auto"/>
              <w:rPr>
                <w:rFonts w:eastAsia="Times New Roman" w:cs="Times New Roman"/>
                <w:sz w:val="24"/>
                <w:szCs w:val="24"/>
              </w:rPr>
            </w:pPr>
            <w:r w:rsidRPr="00B80120">
              <w:rPr>
                <w:rFonts w:eastAsia="Times New Roman" w:cs="Times New Roman"/>
                <w:sz w:val="24"/>
                <w:szCs w:val="24"/>
              </w:rPr>
              <w:t>Yêu cầu hoặc điều kiện</w:t>
            </w:r>
          </w:p>
        </w:tc>
        <w:tc>
          <w:tcPr>
            <w:tcW w:w="916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80120" w:rsidRPr="00B80120" w:rsidRDefault="00B80120" w:rsidP="00B80120">
            <w:pPr>
              <w:spacing w:after="0" w:line="240" w:lineRule="auto"/>
              <w:rPr>
                <w:rFonts w:eastAsia="Times New Roman" w:cs="Times New Roman"/>
                <w:sz w:val="24"/>
                <w:szCs w:val="24"/>
              </w:rPr>
            </w:pPr>
            <w:r w:rsidRPr="00B80120">
              <w:rPr>
                <w:rFonts w:eastAsia="Times New Roman" w:cs="Times New Roman"/>
                <w:sz w:val="24"/>
                <w:szCs w:val="24"/>
              </w:rPr>
              <w:t>Cơ sở kinh doanh dịch vụ ăn uống do Ủy ban nhân dân huyện, thị xã và thành phố (hoặc cơ quan có thẩm quyền) cấp Giấy chứng nhận đăng ký kinh doanh có quy mô kinh doanh dưới 150 suất ăn/lần phục vụ.</w:t>
            </w:r>
          </w:p>
        </w:tc>
      </w:tr>
      <w:tr w:rsidR="00B80120" w:rsidRPr="00B80120" w:rsidTr="00B80120">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80120" w:rsidRPr="00B80120" w:rsidRDefault="00B80120" w:rsidP="00B80120">
            <w:pPr>
              <w:spacing w:after="0" w:line="240" w:lineRule="auto"/>
              <w:rPr>
                <w:rFonts w:eastAsia="Times New Roman" w:cs="Times New Roman"/>
                <w:sz w:val="24"/>
                <w:szCs w:val="24"/>
              </w:rPr>
            </w:pPr>
            <w:r w:rsidRPr="00B80120">
              <w:rPr>
                <w:rFonts w:eastAsia="Times New Roman" w:cs="Times New Roman"/>
                <w:sz w:val="24"/>
                <w:szCs w:val="24"/>
              </w:rPr>
              <w:t>Căn cứ pháp lý</w:t>
            </w:r>
          </w:p>
        </w:tc>
        <w:tc>
          <w:tcPr>
            <w:tcW w:w="916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80120" w:rsidRPr="00B80120" w:rsidRDefault="00B80120" w:rsidP="00B80120">
            <w:pPr>
              <w:spacing w:after="0" w:line="240" w:lineRule="auto"/>
              <w:rPr>
                <w:rFonts w:eastAsia="Times New Roman" w:cs="Times New Roman"/>
                <w:sz w:val="24"/>
                <w:szCs w:val="24"/>
              </w:rPr>
            </w:pPr>
            <w:r w:rsidRPr="00B80120">
              <w:rPr>
                <w:rFonts w:eastAsia="Times New Roman" w:cs="Times New Roman"/>
                <w:sz w:val="24"/>
                <w:szCs w:val="24"/>
              </w:rPr>
              <w:t>- Luật an toàn thực phẩm ngày 17/ 6/2010.</w:t>
            </w:r>
            <w:r w:rsidRPr="00B80120">
              <w:rPr>
                <w:rFonts w:eastAsia="Times New Roman" w:cs="Times New Roman"/>
                <w:sz w:val="24"/>
                <w:szCs w:val="24"/>
              </w:rPr>
              <w:br/>
              <w:t>- Nghị định số 38/2012/NĐ-CP ngày 25/4/2012 về việc quy định chi tiết thi hành một số điều của Luật an toàn thực phẩm.</w:t>
            </w:r>
            <w:r w:rsidRPr="00B80120">
              <w:rPr>
                <w:rFonts w:eastAsia="Times New Roman" w:cs="Times New Roman"/>
                <w:sz w:val="24"/>
                <w:szCs w:val="24"/>
              </w:rPr>
              <w:br/>
              <w:t>- Thông tư số 47/2014/TT-BYT ngày 11/12/2014 của Bộ trưởng Bộ Y tế hướng dẫn quản lý an toàn thực phẩm đối với cơ sơ kinh doanh dịch vụ ăn uống. </w:t>
            </w:r>
            <w:r w:rsidRPr="00B80120">
              <w:rPr>
                <w:rFonts w:eastAsia="Times New Roman" w:cs="Times New Roman"/>
                <w:sz w:val="24"/>
                <w:szCs w:val="24"/>
              </w:rPr>
              <w:br/>
              <w:t>- Quyết định số 298/QĐ-SYT ngày 02/3/2015 của Giá</w:t>
            </w:r>
            <w:bookmarkStart w:id="0" w:name="_GoBack"/>
            <w:bookmarkEnd w:id="0"/>
            <w:r w:rsidRPr="00B80120">
              <w:rPr>
                <w:rFonts w:eastAsia="Times New Roman" w:cs="Times New Roman"/>
                <w:sz w:val="24"/>
                <w:szCs w:val="24"/>
              </w:rPr>
              <w:t>m đốc Sở Y tế Gia Lai Quyết định phân cấp cấp Giấy chứng nhận cơ sở đủ điều kiện an toàn thực phẩm đối với cơ sở kinh doanh dịch vụ ăn uống trên địa bàn tỉnh Gia Lai.</w:t>
            </w:r>
            <w:r w:rsidRPr="00B80120">
              <w:rPr>
                <w:rFonts w:eastAsia="Times New Roman" w:cs="Times New Roman"/>
                <w:sz w:val="24"/>
                <w:szCs w:val="24"/>
              </w:rPr>
              <w:br/>
            </w:r>
            <w:r w:rsidRPr="00B80120">
              <w:rPr>
                <w:rFonts w:eastAsia="Times New Roman" w:cs="Times New Roman"/>
                <w:i/>
                <w:iCs/>
                <w:sz w:val="24"/>
                <w:szCs w:val="24"/>
              </w:rPr>
              <w:t>- Thông tư số 279/2016/TT-BTC ngày 14/11/2016 của Bộ trưởng Bộ Tài chính quy định mức thu, chế độ thu, nộp, quản lý và sử dụng phí trong công tác an toàn vệ sinh thực phẩm</w:t>
            </w:r>
            <w:r w:rsidRPr="00B80120">
              <w:rPr>
                <w:rFonts w:eastAsia="Times New Roman" w:cs="Times New Roman"/>
                <w:sz w:val="24"/>
                <w:szCs w:val="24"/>
              </w:rPr>
              <w:t>.</w:t>
            </w:r>
          </w:p>
        </w:tc>
      </w:tr>
    </w:tbl>
    <w:p w:rsidR="003E268A" w:rsidRDefault="00B80120" w:rsidP="00B80120">
      <w:r w:rsidRPr="00B80120">
        <w:rPr>
          <w:rFonts w:ascii="Tahoma" w:eastAsia="Times New Roman" w:hAnsi="Tahoma" w:cs="Tahoma"/>
          <w:color w:val="4D4D4D"/>
          <w:sz w:val="24"/>
          <w:szCs w:val="24"/>
          <w:shd w:val="clear" w:color="auto" w:fill="FFFFFF"/>
        </w:rPr>
        <w:t>* Mẫu đơn, mẫu tờ khai:</w:t>
      </w:r>
      <w:r w:rsidRPr="00B80120">
        <w:rPr>
          <w:rFonts w:ascii="Tahoma" w:eastAsia="Times New Roman" w:hAnsi="Tahoma" w:cs="Tahoma"/>
          <w:color w:val="4D4D4D"/>
          <w:sz w:val="24"/>
          <w:szCs w:val="24"/>
        </w:rPr>
        <w:br/>
      </w:r>
      <w:r w:rsidRPr="00B80120">
        <w:rPr>
          <w:rFonts w:ascii="Tahoma" w:eastAsia="Times New Roman" w:hAnsi="Tahoma" w:cs="Tahoma"/>
          <w:color w:val="4D4D4D"/>
          <w:sz w:val="24"/>
          <w:szCs w:val="24"/>
          <w:shd w:val="clear" w:color="auto" w:fill="FFFFFF"/>
        </w:rPr>
        <w:t>- </w:t>
      </w:r>
      <w:hyperlink r:id="rId5" w:tgtFrame="_blank" w:history="1">
        <w:r w:rsidRPr="00B80120">
          <w:rPr>
            <w:rFonts w:ascii="Tahoma" w:eastAsia="Times New Roman" w:hAnsi="Tahoma" w:cs="Tahoma"/>
            <w:color w:val="000000"/>
            <w:sz w:val="24"/>
            <w:szCs w:val="24"/>
            <w:shd w:val="clear" w:color="auto" w:fill="FFFFFF"/>
          </w:rPr>
          <w:t>Mau-1.docx</w:t>
        </w:r>
      </w:hyperlink>
    </w:p>
    <w:sectPr w:rsidR="003E2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120"/>
    <w:rsid w:val="003E268A"/>
    <w:rsid w:val="00B80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80120"/>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80120"/>
    <w:rPr>
      <w:rFonts w:eastAsia="Times New Roman" w:cs="Times New Roman"/>
      <w:b/>
      <w:bCs/>
      <w:sz w:val="27"/>
      <w:szCs w:val="27"/>
    </w:rPr>
  </w:style>
  <w:style w:type="character" w:styleId="Strong">
    <w:name w:val="Strong"/>
    <w:basedOn w:val="DefaultParagraphFont"/>
    <w:uiPriority w:val="22"/>
    <w:qFormat/>
    <w:rsid w:val="00B80120"/>
    <w:rPr>
      <w:b/>
      <w:bCs/>
    </w:rPr>
  </w:style>
  <w:style w:type="character" w:styleId="Emphasis">
    <w:name w:val="Emphasis"/>
    <w:basedOn w:val="DefaultParagraphFont"/>
    <w:uiPriority w:val="20"/>
    <w:qFormat/>
    <w:rsid w:val="00B80120"/>
    <w:rPr>
      <w:i/>
      <w:iCs/>
    </w:rPr>
  </w:style>
  <w:style w:type="character" w:styleId="Hyperlink">
    <w:name w:val="Hyperlink"/>
    <w:basedOn w:val="DefaultParagraphFont"/>
    <w:uiPriority w:val="99"/>
    <w:semiHidden/>
    <w:unhideWhenUsed/>
    <w:rsid w:val="00B8012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80120"/>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80120"/>
    <w:rPr>
      <w:rFonts w:eastAsia="Times New Roman" w:cs="Times New Roman"/>
      <w:b/>
      <w:bCs/>
      <w:sz w:val="27"/>
      <w:szCs w:val="27"/>
    </w:rPr>
  </w:style>
  <w:style w:type="character" w:styleId="Strong">
    <w:name w:val="Strong"/>
    <w:basedOn w:val="DefaultParagraphFont"/>
    <w:uiPriority w:val="22"/>
    <w:qFormat/>
    <w:rsid w:val="00B80120"/>
    <w:rPr>
      <w:b/>
      <w:bCs/>
    </w:rPr>
  </w:style>
  <w:style w:type="character" w:styleId="Emphasis">
    <w:name w:val="Emphasis"/>
    <w:basedOn w:val="DefaultParagraphFont"/>
    <w:uiPriority w:val="20"/>
    <w:qFormat/>
    <w:rsid w:val="00B80120"/>
    <w:rPr>
      <w:i/>
      <w:iCs/>
    </w:rPr>
  </w:style>
  <w:style w:type="character" w:styleId="Hyperlink">
    <w:name w:val="Hyperlink"/>
    <w:basedOn w:val="DefaultParagraphFont"/>
    <w:uiPriority w:val="99"/>
    <w:semiHidden/>
    <w:unhideWhenUsed/>
    <w:rsid w:val="00B801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362173">
      <w:bodyDiv w:val="1"/>
      <w:marLeft w:val="0"/>
      <w:marRight w:val="0"/>
      <w:marTop w:val="0"/>
      <w:marBottom w:val="0"/>
      <w:divBdr>
        <w:top w:val="none" w:sz="0" w:space="0" w:color="auto"/>
        <w:left w:val="none" w:sz="0" w:space="0" w:color="auto"/>
        <w:bottom w:val="none" w:sz="0" w:space="0" w:color="auto"/>
        <w:right w:val="none" w:sz="0" w:space="0" w:color="auto"/>
      </w:divBdr>
      <w:divsChild>
        <w:div w:id="440879226">
          <w:marLeft w:val="0"/>
          <w:marRight w:val="0"/>
          <w:marTop w:val="0"/>
          <w:marBottom w:val="0"/>
          <w:divBdr>
            <w:top w:val="none" w:sz="0" w:space="0" w:color="auto"/>
            <w:left w:val="none" w:sz="0" w:space="0" w:color="auto"/>
            <w:bottom w:val="none" w:sz="0" w:space="0" w:color="auto"/>
            <w:right w:val="none" w:sz="0" w:space="0" w:color="auto"/>
          </w:divBdr>
          <w:divsChild>
            <w:div w:id="28948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hupuh.gialai.gov.vn/getattachment/TTHC/caphuyen/Linh-vuc-mtdd-(4)/8-Thu-tuc-%C4%91ang-ky,-cap-Giay-chung-nhan-quyen-su-du/Mau-1.docx.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3671</Characters>
  <Application>Microsoft Office Word</Application>
  <DocSecurity>0</DocSecurity>
  <Lines>30</Lines>
  <Paragraphs>8</Paragraphs>
  <ScaleCrop>false</ScaleCrop>
  <Company/>
  <LinksUpToDate>false</LinksUpToDate>
  <CharactersWithSpaces>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2020-01-21T02:41:00Z</dcterms:created>
  <dcterms:modified xsi:type="dcterms:W3CDTF">2020-01-21T02:42:00Z</dcterms:modified>
</cp:coreProperties>
</file>